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Managed Security Service Provider (MSSP) Requirements Guideline</w:t>
      </w:r>
    </w:p>
    <w:p>
      <w:pPr>
        <w:spacing w:after="80" w:before="0"/>
      </w:pPr>
      <w:r>
        <w:rPr>
          <w:rFonts w:ascii="Calibri" w:hAnsi="Calibri" w:cs="Calibri" w:eastAsia="Calibri"/>
          <w:b w:val="0"/>
          <w:i w:val="0"/>
          <w:color w:val="595959"/>
          <w:sz w:val="18"/>
          <w:szCs w:val="18"/>
        </w:rPr>
        <w:t>DE-GDL-001  |  Guideline  |  Continuous Monitoring (DE.CM)</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DE-GDL-001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Managed Security Service Provider (MSSP) Requirements Guideline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13 September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13 September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Guideline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Detect (DE)</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Continuous Monitoring (DE.CM)</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Optional</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5.22</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Third Party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Extended</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Optional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16 June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13 September 2026</w:t>
            </w:r>
          </w:p>
        </w:tc>
        <w:tc>
          <w:tcPr>
            <w:tcW w:type="dxa" w:w="3742"/>
          </w:tcPr>
          <w:p>
            <w:r/>
            <w:r>
              <w:rPr>
                <w:rFonts w:ascii="Calibri" w:hAnsi="Calibri" w:cs="Calibri" w:eastAsia="Calibri"/>
                <w:b w:val="0"/>
                <w:i w:val="0"/>
                <w:sz w:val="18"/>
                <w:szCs w:val="18"/>
              </w:rPr>
              <w:t>Updated after onboarding the managed security service provider (MSSP) for 24x7 monitoring in March 2026.</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guideline sets out what to require from a managed security service provider (MSSP) for monitoring and response, so the service is measurable and the organization retains control (DE.CM-06, GV.SC-05).</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guideline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Service Requirements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minimum service elements and measures.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268"/>
        <w:gridCol w:w="7087"/>
      </w:tblGrid>
      <w:tr>
        <w:trPr>
          <w:tblHeader w:val="true"/>
        </w:trPr>
        <w:tc>
          <w:tcPr>
            <w:tcW w:type="dxa" w:w="2268"/>
            <w:shd w:val="clear" w:color="auto" w:fill="1F3864"/>
          </w:tcPr>
          <w:p>
            <w:r/>
            <w:r>
              <w:rPr>
                <w:rFonts w:ascii="Calibri" w:hAnsi="Calibri" w:cs="Calibri" w:eastAsia="Calibri"/>
                <w:b/>
                <w:i w:val="0"/>
                <w:color w:val="FFFFFF"/>
                <w:sz w:val="18"/>
                <w:szCs w:val="18"/>
                <w:bCs/>
              </w:rPr>
              <w:t>Area</w:t>
            </w:r>
          </w:p>
        </w:tc>
        <w:tc>
          <w:tcPr>
            <w:tcW w:type="dxa" w:w="7087"/>
            <w:shd w:val="clear" w:color="auto" w:fill="1F3864"/>
          </w:tcPr>
          <w:p>
            <w:r/>
            <w:r>
              <w:rPr>
                <w:rFonts w:ascii="Calibri" w:hAnsi="Calibri" w:cs="Calibri" w:eastAsia="Calibri"/>
                <w:b/>
                <w:i w:val="0"/>
                <w:color w:val="FFFFFF"/>
                <w:sz w:val="18"/>
                <w:szCs w:val="18"/>
                <w:bCs/>
              </w:rPr>
              <w:t>Requirement</w:t>
            </w:r>
          </w:p>
        </w:tc>
      </w:tr>
      <w:tr>
        <w:tc>
          <w:tcPr>
            <w:tcW w:type="dxa" w:w="2268"/>
          </w:tcPr>
          <w:p>
            <w:r/>
            <w:r>
              <w:rPr>
                <w:rFonts w:ascii="Calibri" w:hAnsi="Calibri" w:cs="Calibri" w:eastAsia="Calibri"/>
                <w:b w:val="0"/>
                <w:i w:val="0"/>
                <w:sz w:val="18"/>
                <w:szCs w:val="18"/>
              </w:rPr>
              <w:t>Coverage</w:t>
            </w:r>
          </w:p>
        </w:tc>
        <w:tc>
          <w:tcPr>
            <w:tcW w:type="dxa" w:w="7087"/>
          </w:tcPr>
          <w:p>
            <w:r/>
            <w:r>
              <w:rPr>
                <w:rFonts w:ascii="Calibri" w:hAnsi="Calibri" w:cs="Calibri" w:eastAsia="Calibri"/>
                <w:b w:val="0"/>
                <w:i w:val="0"/>
                <w:sz w:val="18"/>
                <w:szCs w:val="18"/>
              </w:rPr>
              <w:t>24x7 monitoring of agreed log sources; onboarding plan with dates</w:t>
            </w:r>
          </w:p>
        </w:tc>
      </w:tr>
      <w:tr>
        <w:tc>
          <w:tcPr>
            <w:tcW w:type="dxa" w:w="2268"/>
          </w:tcPr>
          <w:p>
            <w:r/>
            <w:r>
              <w:rPr>
                <w:rFonts w:ascii="Calibri" w:hAnsi="Calibri" w:cs="Calibri" w:eastAsia="Calibri"/>
                <w:b w:val="0"/>
                <w:i w:val="0"/>
                <w:sz w:val="18"/>
                <w:szCs w:val="18"/>
              </w:rPr>
              <w:t>Service levels</w:t>
            </w:r>
          </w:p>
        </w:tc>
        <w:tc>
          <w:tcPr>
            <w:tcW w:type="dxa" w:w="7087"/>
          </w:tcPr>
          <w:p>
            <w:r/>
            <w:r>
              <w:rPr>
                <w:rFonts w:ascii="Calibri" w:hAnsi="Calibri" w:cs="Calibri" w:eastAsia="Calibri"/>
                <w:b w:val="0"/>
                <w:i w:val="0"/>
                <w:sz w:val="18"/>
                <w:szCs w:val="18"/>
              </w:rPr>
              <w:t>Triage and notification times matching DE-STD-001; monthly SLA report</w:t>
            </w:r>
          </w:p>
        </w:tc>
      </w:tr>
      <w:tr>
        <w:tc>
          <w:tcPr>
            <w:tcW w:type="dxa" w:w="2268"/>
          </w:tcPr>
          <w:p>
            <w:r/>
            <w:r>
              <w:rPr>
                <w:rFonts w:ascii="Calibri" w:hAnsi="Calibri" w:cs="Calibri" w:eastAsia="Calibri"/>
                <w:b w:val="0"/>
                <w:i w:val="0"/>
                <w:sz w:val="18"/>
                <w:szCs w:val="18"/>
              </w:rPr>
              <w:t>Response authority</w:t>
            </w:r>
          </w:p>
        </w:tc>
        <w:tc>
          <w:tcPr>
            <w:tcW w:type="dxa" w:w="7087"/>
          </w:tcPr>
          <w:p>
            <w:r/>
            <w:r>
              <w:rPr>
                <w:rFonts w:ascii="Calibri" w:hAnsi="Calibri" w:cs="Calibri" w:eastAsia="Calibri"/>
                <w:b w:val="0"/>
                <w:i w:val="0"/>
                <w:sz w:val="18"/>
                <w:szCs w:val="18"/>
              </w:rPr>
              <w:t>Defined actions the MSSP may take (for example, isolate endpoint, disable account) and those that need approval</w:t>
            </w:r>
          </w:p>
        </w:tc>
      </w:tr>
      <w:tr>
        <w:tc>
          <w:tcPr>
            <w:tcW w:type="dxa" w:w="2268"/>
          </w:tcPr>
          <w:p>
            <w:r/>
            <w:r>
              <w:rPr>
                <w:rFonts w:ascii="Calibri" w:hAnsi="Calibri" w:cs="Calibri" w:eastAsia="Calibri"/>
                <w:b w:val="0"/>
                <w:i w:val="0"/>
                <w:sz w:val="18"/>
                <w:szCs w:val="18"/>
              </w:rPr>
              <w:t>Use cases</w:t>
            </w:r>
          </w:p>
        </w:tc>
        <w:tc>
          <w:tcPr>
            <w:tcW w:type="dxa" w:w="7087"/>
          </w:tcPr>
          <w:p>
            <w:r/>
            <w:r>
              <w:rPr>
                <w:rFonts w:ascii="Calibri" w:hAnsi="Calibri" w:cs="Calibri" w:eastAsia="Calibri"/>
                <w:b w:val="0"/>
                <w:i w:val="0"/>
                <w:sz w:val="18"/>
                <w:szCs w:val="18"/>
              </w:rPr>
              <w:t>Agreed detection catalog, tuned quarterly, mapped to MITRE ATT&amp;CK</w:t>
            </w:r>
          </w:p>
        </w:tc>
      </w:tr>
      <w:tr>
        <w:tc>
          <w:tcPr>
            <w:tcW w:type="dxa" w:w="2268"/>
          </w:tcPr>
          <w:p>
            <w:r/>
            <w:r>
              <w:rPr>
                <w:rFonts w:ascii="Calibri" w:hAnsi="Calibri" w:cs="Calibri" w:eastAsia="Calibri"/>
                <w:b w:val="0"/>
                <w:i w:val="0"/>
                <w:sz w:val="18"/>
                <w:szCs w:val="18"/>
              </w:rPr>
              <w:t>Threat intelligence</w:t>
            </w:r>
          </w:p>
        </w:tc>
        <w:tc>
          <w:tcPr>
            <w:tcW w:type="dxa" w:w="7087"/>
          </w:tcPr>
          <w:p>
            <w:r/>
            <w:r>
              <w:rPr>
                <w:rFonts w:ascii="Calibri" w:hAnsi="Calibri" w:cs="Calibri" w:eastAsia="Calibri"/>
                <w:b w:val="0"/>
                <w:i w:val="0"/>
                <w:sz w:val="18"/>
                <w:szCs w:val="18"/>
              </w:rPr>
              <w:t>Included and applied to detections</w:t>
            </w:r>
          </w:p>
        </w:tc>
      </w:tr>
      <w:tr>
        <w:tc>
          <w:tcPr>
            <w:tcW w:type="dxa" w:w="2268"/>
          </w:tcPr>
          <w:p>
            <w:r/>
            <w:r>
              <w:rPr>
                <w:rFonts w:ascii="Calibri" w:hAnsi="Calibri" w:cs="Calibri" w:eastAsia="Calibri"/>
                <w:b w:val="0"/>
                <w:i w:val="0"/>
                <w:sz w:val="18"/>
                <w:szCs w:val="18"/>
              </w:rPr>
              <w:t>Incident response</w:t>
            </w:r>
          </w:p>
        </w:tc>
        <w:tc>
          <w:tcPr>
            <w:tcW w:type="dxa" w:w="7087"/>
          </w:tcPr>
          <w:p>
            <w:r/>
            <w:r>
              <w:rPr>
                <w:rFonts w:ascii="Calibri" w:hAnsi="Calibri" w:cs="Calibri" w:eastAsia="Calibri"/>
                <w:b w:val="0"/>
                <w:i w:val="0"/>
                <w:sz w:val="18"/>
                <w:szCs w:val="18"/>
              </w:rPr>
              <w:t>Retainer hours, on-site option, forensic capability</w:t>
            </w:r>
          </w:p>
        </w:tc>
      </w:tr>
      <w:tr>
        <w:tc>
          <w:tcPr>
            <w:tcW w:type="dxa" w:w="2268"/>
          </w:tcPr>
          <w:p>
            <w:r/>
            <w:r>
              <w:rPr>
                <w:rFonts w:ascii="Calibri" w:hAnsi="Calibri" w:cs="Calibri" w:eastAsia="Calibri"/>
                <w:b w:val="0"/>
                <w:i w:val="0"/>
                <w:sz w:val="18"/>
                <w:szCs w:val="18"/>
              </w:rPr>
              <w:t>Data protection</w:t>
            </w:r>
          </w:p>
        </w:tc>
        <w:tc>
          <w:tcPr>
            <w:tcW w:type="dxa" w:w="7087"/>
          </w:tcPr>
          <w:p>
            <w:r/>
            <w:r>
              <w:rPr>
                <w:rFonts w:ascii="Calibri" w:hAnsi="Calibri" w:cs="Calibri" w:eastAsia="Calibri"/>
                <w:b w:val="0"/>
                <w:i w:val="0"/>
                <w:sz w:val="18"/>
                <w:szCs w:val="18"/>
              </w:rPr>
              <w:t>Log location, retention, access, deletion at exit; DPA where personal data is processed</w:t>
            </w:r>
          </w:p>
        </w:tc>
      </w:tr>
      <w:tr>
        <w:tc>
          <w:tcPr>
            <w:tcW w:type="dxa" w:w="2268"/>
          </w:tcPr>
          <w:p>
            <w:r/>
            <w:r>
              <w:rPr>
                <w:rFonts w:ascii="Calibri" w:hAnsi="Calibri" w:cs="Calibri" w:eastAsia="Calibri"/>
                <w:b w:val="0"/>
                <w:i w:val="0"/>
                <w:sz w:val="18"/>
                <w:szCs w:val="18"/>
              </w:rPr>
              <w:t>Reporting and governance</w:t>
            </w:r>
          </w:p>
        </w:tc>
        <w:tc>
          <w:tcPr>
            <w:tcW w:type="dxa" w:w="7087"/>
          </w:tcPr>
          <w:p>
            <w:r/>
            <w:r>
              <w:rPr>
                <w:rFonts w:ascii="Calibri" w:hAnsi="Calibri" w:cs="Calibri" w:eastAsia="Calibri"/>
                <w:b w:val="0"/>
                <w:i w:val="0"/>
                <w:sz w:val="18"/>
                <w:szCs w:val="18"/>
              </w:rPr>
              <w:t>Monthly service review, quarterly executive report</w:t>
            </w:r>
          </w:p>
        </w:tc>
      </w:tr>
      <w:tr>
        <w:tc>
          <w:tcPr>
            <w:tcW w:type="dxa" w:w="2268"/>
          </w:tcPr>
          <w:p>
            <w:r/>
            <w:r>
              <w:rPr>
                <w:rFonts w:ascii="Calibri" w:hAnsi="Calibri" w:cs="Calibri" w:eastAsia="Calibri"/>
                <w:b w:val="0"/>
                <w:i w:val="0"/>
                <w:sz w:val="18"/>
                <w:szCs w:val="18"/>
              </w:rPr>
              <w:t>Exit</w:t>
            </w:r>
          </w:p>
        </w:tc>
        <w:tc>
          <w:tcPr>
            <w:tcW w:type="dxa" w:w="7087"/>
          </w:tcPr>
          <w:p>
            <w:r/>
            <w:r>
              <w:rPr>
                <w:rFonts w:ascii="Calibri" w:hAnsi="Calibri" w:cs="Calibri" w:eastAsia="Calibri"/>
                <w:b w:val="0"/>
                <w:i w:val="0"/>
                <w:sz w:val="18"/>
                <w:szCs w:val="18"/>
              </w:rPr>
              <w:t>Return of logs, rules, and documentation</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Run a proof of concept with your own data before signing.</w:t>
      </w:r>
    </w:p>
    <w:p>
      <w:pPr>
        <w:pStyle w:val="ListBullet"/>
        <w:spacing w:after="40"/>
      </w:pPr>
      <w:r>
        <w:rPr>
          <w:rFonts w:ascii="Calibri" w:hAnsi="Calibri" w:cs="Calibri" w:eastAsia="Calibri"/>
          <w:b w:val="0"/>
          <w:i w:val="0"/>
          <w:sz w:val="21"/>
          <w:szCs w:val="21"/>
        </w:rPr>
        <w:t>Own the detection rules and log platform where possible to avoid lock-in.</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Contracts measure ticket counts instead of detection quality and response times.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DE.CM-06: External service provider activities and services are monitored to find potentially adverse events</w:t>
            </w:r>
          </w:p>
          <w:p>
            <w:r>
              <w:rPr>
                <w:rFonts w:ascii="Calibri" w:hAnsi="Calibri" w:cs="Calibri" w:eastAsia="Calibri"/>
                <w:b w:val="0"/>
                <w:i w:val="0"/>
                <w:sz w:val="18"/>
                <w:szCs w:val="18"/>
              </w:rPr>
              <w:t>GV.SC-05: Requirements to address supply chain risks are established, prioritized, and integrated into contracts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A.5.20, Annex A.5.22</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SA-9</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5.22</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DE-STD-001: Security Monitoring Standard</w:t>
            </w:r>
          </w:p>
          <w:p>
            <w:r>
              <w:rPr>
                <w:rFonts w:ascii="Calibri" w:hAnsi="Calibri" w:cs="Calibri" w:eastAsia="Calibri"/>
                <w:b w:val="0"/>
                <w:i w:val="0"/>
                <w:sz w:val="18"/>
                <w:szCs w:val="18"/>
              </w:rPr>
              <w:t>GV-STD-002: Supplier Security Requirements Standard</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DE-GDL-001  |  Managed Security Service Provider (MSSP) Requirements Guideline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