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Security Monitoring Operations Procedure</w:t>
      </w:r>
    </w:p>
    <w:p>
      <w:pPr>
        <w:spacing w:after="80" w:before="0"/>
      </w:pPr>
      <w:r>
        <w:rPr>
          <w:rFonts w:ascii="Calibri" w:hAnsi="Calibri" w:cs="Calibri" w:eastAsia="Calibri"/>
          <w:b w:val="0"/>
          <w:i w:val="0"/>
          <w:color w:val="595959"/>
          <w:sz w:val="18"/>
          <w:szCs w:val="18"/>
        </w:rPr>
        <w:t>DE-PRC-001  |  Procedure  |  Continuous Monitoring (DE.CM)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Security Monitoring Operations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SOC Lead (MSSP service manager with Security Manager oversight)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Continuous Monitoring (DE.CM)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March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daily security monitoring operations: alert handling, shift handover, tuning, escalation, and oversight of the managed service provider where used (DE.CM, DE.AE-06).</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Daily Operations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recurring monitoring activities.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5103"/>
        <w:gridCol w:w="1701"/>
        <w:gridCol w:w="2551"/>
      </w:tblGrid>
      <w:tr>
        <w:trPr>
          <w:tblHeader w:val="true"/>
        </w:trPr>
        <w:tc>
          <w:tcPr>
            <w:tcW w:type="dxa" w:w="5102"/>
            <w:shd w:val="clear" w:color="auto" w:fill="1F3864"/>
          </w:tcPr>
          <w:p>
            <w:r/>
            <w:r>
              <w:rPr>
                <w:rFonts w:ascii="Calibri" w:hAnsi="Calibri" w:cs="Calibri" w:eastAsia="Calibri"/>
                <w:b/>
                <w:i w:val="0"/>
                <w:color w:val="FFFFFF"/>
                <w:sz w:val="18"/>
                <w:szCs w:val="18"/>
                <w:bCs/>
              </w:rPr>
              <w:t>Activity</w:t>
            </w:r>
          </w:p>
        </w:tc>
        <w:tc>
          <w:tcPr>
            <w:tcW w:type="dxa" w:w="1701"/>
            <w:shd w:val="clear" w:color="auto" w:fill="1F3864"/>
          </w:tcPr>
          <w:p>
            <w:r/>
            <w:r>
              <w:rPr>
                <w:rFonts w:ascii="Calibri" w:hAnsi="Calibri" w:cs="Calibri" w:eastAsia="Calibri"/>
                <w:b/>
                <w:i w:val="0"/>
                <w:color w:val="FFFFFF"/>
                <w:sz w:val="18"/>
                <w:szCs w:val="18"/>
                <w:bCs/>
              </w:rPr>
              <w:t>Frequency</w:t>
            </w:r>
          </w:p>
        </w:tc>
        <w:tc>
          <w:tcPr>
            <w:tcW w:type="dxa" w:w="2551"/>
            <w:shd w:val="clear" w:color="auto" w:fill="1F3864"/>
          </w:tcPr>
          <w:p>
            <w:r/>
            <w:r>
              <w:rPr>
                <w:rFonts w:ascii="Calibri" w:hAnsi="Calibri" w:cs="Calibri" w:eastAsia="Calibri"/>
                <w:b/>
                <w:i w:val="0"/>
                <w:color w:val="FFFFFF"/>
                <w:sz w:val="18"/>
                <w:szCs w:val="18"/>
                <w:bCs/>
              </w:rPr>
              <w:t>Actor</w:t>
            </w:r>
          </w:p>
        </w:tc>
      </w:tr>
      <w:tr>
        <w:tc>
          <w:tcPr>
            <w:tcW w:type="dxa" w:w="5102"/>
          </w:tcPr>
          <w:p>
            <w:r/>
            <w:r>
              <w:rPr>
                <w:rFonts w:ascii="Calibri" w:hAnsi="Calibri" w:cs="Calibri" w:eastAsia="Calibri"/>
                <w:b w:val="0"/>
                <w:i w:val="0"/>
                <w:sz w:val="18"/>
                <w:szCs w:val="18"/>
              </w:rPr>
              <w:t>Monitor alert queue and triage per DE-PRC-002</w:t>
            </w:r>
          </w:p>
        </w:tc>
        <w:tc>
          <w:tcPr>
            <w:tcW w:type="dxa" w:w="1701"/>
          </w:tcPr>
          <w:p>
            <w:r/>
            <w:r>
              <w:rPr>
                <w:rFonts w:ascii="Calibri" w:hAnsi="Calibri" w:cs="Calibri" w:eastAsia="Calibri"/>
                <w:b w:val="0"/>
                <w:i w:val="0"/>
                <w:sz w:val="18"/>
                <w:szCs w:val="18"/>
              </w:rPr>
              <w:t>Continuous</w:t>
            </w:r>
          </w:p>
        </w:tc>
        <w:tc>
          <w:tcPr>
            <w:tcW w:type="dxa" w:w="2551"/>
          </w:tcPr>
          <w:p>
            <w:r/>
            <w:r>
              <w:rPr>
                <w:rFonts w:ascii="Calibri" w:hAnsi="Calibri" w:cs="Calibri" w:eastAsia="Calibri"/>
                <w:b w:val="0"/>
                <w:i w:val="0"/>
                <w:sz w:val="18"/>
                <w:szCs w:val="18"/>
              </w:rPr>
              <w:t>SOC Lead (MSSP service manager with Security Manager oversight) analyst</w:t>
            </w:r>
          </w:p>
        </w:tc>
      </w:tr>
      <w:tr>
        <w:tc>
          <w:tcPr>
            <w:tcW w:type="dxa" w:w="5102"/>
          </w:tcPr>
          <w:p>
            <w:r/>
            <w:r>
              <w:rPr>
                <w:rFonts w:ascii="Calibri" w:hAnsi="Calibri" w:cs="Calibri" w:eastAsia="Calibri"/>
                <w:b w:val="0"/>
                <w:i w:val="0"/>
                <w:sz w:val="18"/>
                <w:szCs w:val="18"/>
              </w:rPr>
              <w:t>Check log source health; raise tickets for silent sources</w:t>
            </w:r>
          </w:p>
        </w:tc>
        <w:tc>
          <w:tcPr>
            <w:tcW w:type="dxa" w:w="1701"/>
          </w:tcPr>
          <w:p>
            <w:r/>
            <w:r>
              <w:rPr>
                <w:rFonts w:ascii="Calibri" w:hAnsi="Calibri" w:cs="Calibri" w:eastAsia="Calibri"/>
                <w:b w:val="0"/>
                <w:i w:val="0"/>
                <w:sz w:val="18"/>
                <w:szCs w:val="18"/>
              </w:rPr>
              <w:t>Daily</w:t>
            </w:r>
          </w:p>
        </w:tc>
        <w:tc>
          <w:tcPr>
            <w:tcW w:type="dxa" w:w="2551"/>
          </w:tcPr>
          <w:p>
            <w:r/>
            <w:r>
              <w:rPr>
                <w:rFonts w:ascii="Calibri" w:hAnsi="Calibri" w:cs="Calibri" w:eastAsia="Calibri"/>
                <w:b w:val="0"/>
                <w:i w:val="0"/>
                <w:sz w:val="18"/>
                <w:szCs w:val="18"/>
              </w:rPr>
              <w:t>SOC Lead (MSSP service manager with Security Manager oversight) analyst</w:t>
            </w:r>
          </w:p>
        </w:tc>
      </w:tr>
      <w:tr>
        <w:tc>
          <w:tcPr>
            <w:tcW w:type="dxa" w:w="5102"/>
          </w:tcPr>
          <w:p>
            <w:r/>
            <w:r>
              <w:rPr>
                <w:rFonts w:ascii="Calibri" w:hAnsi="Calibri" w:cs="Calibri" w:eastAsia="Calibri"/>
                <w:b w:val="0"/>
                <w:i w:val="0"/>
                <w:sz w:val="18"/>
                <w:szCs w:val="18"/>
              </w:rPr>
              <w:t>Shift handover with open cases and watch items</w:t>
            </w:r>
          </w:p>
        </w:tc>
        <w:tc>
          <w:tcPr>
            <w:tcW w:type="dxa" w:w="1701"/>
          </w:tcPr>
          <w:p>
            <w:r/>
            <w:r>
              <w:rPr>
                <w:rFonts w:ascii="Calibri" w:hAnsi="Calibri" w:cs="Calibri" w:eastAsia="Calibri"/>
                <w:b w:val="0"/>
                <w:i w:val="0"/>
                <w:sz w:val="18"/>
                <w:szCs w:val="18"/>
              </w:rPr>
              <w:t>Each shift</w:t>
            </w:r>
          </w:p>
        </w:tc>
        <w:tc>
          <w:tcPr>
            <w:tcW w:type="dxa" w:w="2551"/>
          </w:tcPr>
          <w:p>
            <w:r/>
            <w:r>
              <w:rPr>
                <w:rFonts w:ascii="Calibri" w:hAnsi="Calibri" w:cs="Calibri" w:eastAsia="Calibri"/>
                <w:b w:val="0"/>
                <w:i w:val="0"/>
                <w:sz w:val="18"/>
                <w:szCs w:val="18"/>
              </w:rPr>
              <w:t>SOC Lead (MSSP service manager with Security Manager oversight) analysts</w:t>
            </w:r>
          </w:p>
        </w:tc>
      </w:tr>
      <w:tr>
        <w:tc>
          <w:tcPr>
            <w:tcW w:type="dxa" w:w="5102"/>
          </w:tcPr>
          <w:p>
            <w:r/>
            <w:r>
              <w:rPr>
                <w:rFonts w:ascii="Calibri" w:hAnsi="Calibri" w:cs="Calibri" w:eastAsia="Calibri"/>
                <w:b w:val="0"/>
                <w:i w:val="0"/>
                <w:sz w:val="18"/>
                <w:szCs w:val="18"/>
              </w:rPr>
              <w:t>Tune noisy rules and document changes</w:t>
            </w:r>
          </w:p>
        </w:tc>
        <w:tc>
          <w:tcPr>
            <w:tcW w:type="dxa" w:w="1701"/>
          </w:tcPr>
          <w:p>
            <w:r/>
            <w:r>
              <w:rPr>
                <w:rFonts w:ascii="Calibri" w:hAnsi="Calibri" w:cs="Calibri" w:eastAsia="Calibri"/>
                <w:b w:val="0"/>
                <w:i w:val="0"/>
                <w:sz w:val="18"/>
                <w:szCs w:val="18"/>
              </w:rPr>
              <w:t>Weekly</w:t>
            </w:r>
          </w:p>
        </w:tc>
        <w:tc>
          <w:tcPr>
            <w:tcW w:type="dxa" w:w="2551"/>
          </w:tcPr>
          <w:p>
            <w:r/>
            <w:r>
              <w:rPr>
                <w:rFonts w:ascii="Calibri" w:hAnsi="Calibri" w:cs="Calibri" w:eastAsia="Calibri"/>
                <w:b w:val="0"/>
                <w:i w:val="0"/>
                <w:sz w:val="18"/>
                <w:szCs w:val="18"/>
              </w:rPr>
              <w:t>SOC Lead (MSSP service manager with Security Manager oversight) engineer</w:t>
            </w:r>
          </w:p>
        </w:tc>
      </w:tr>
      <w:tr>
        <w:tc>
          <w:tcPr>
            <w:tcW w:type="dxa" w:w="5102"/>
          </w:tcPr>
          <w:p>
            <w:r/>
            <w:r>
              <w:rPr>
                <w:rFonts w:ascii="Calibri" w:hAnsi="Calibri" w:cs="Calibri" w:eastAsia="Calibri"/>
                <w:b w:val="0"/>
                <w:i w:val="0"/>
                <w:sz w:val="18"/>
                <w:szCs w:val="18"/>
              </w:rPr>
              <w:t>Report alerts, incidents, and coverage to the Security Manager</w:t>
            </w:r>
          </w:p>
        </w:tc>
        <w:tc>
          <w:tcPr>
            <w:tcW w:type="dxa" w:w="1701"/>
          </w:tcPr>
          <w:p>
            <w:r/>
            <w:r>
              <w:rPr>
                <w:rFonts w:ascii="Calibri" w:hAnsi="Calibri" w:cs="Calibri" w:eastAsia="Calibri"/>
                <w:b w:val="0"/>
                <w:i w:val="0"/>
                <w:sz w:val="18"/>
                <w:szCs w:val="18"/>
              </w:rPr>
              <w:t>Monthly</w:t>
            </w:r>
          </w:p>
        </w:tc>
        <w:tc>
          <w:tcPr>
            <w:tcW w:type="dxa" w:w="2551"/>
          </w:tcPr>
          <w:p>
            <w:r/>
            <w:r>
              <w:rPr>
                <w:rFonts w:ascii="Calibri" w:hAnsi="Calibri" w:cs="Calibri" w:eastAsia="Calibri"/>
                <w:b w:val="0"/>
                <w:i w:val="0"/>
                <w:sz w:val="18"/>
                <w:szCs w:val="18"/>
              </w:rPr>
              <w:t>SOC Lead (MSSP service manager with Security Manager oversight) Lead</w:t>
            </w:r>
          </w:p>
        </w:tc>
      </w:tr>
      <w:tr>
        <w:tc>
          <w:tcPr>
            <w:tcW w:type="dxa" w:w="5102"/>
          </w:tcPr>
          <w:p>
            <w:r/>
            <w:r>
              <w:rPr>
                <w:rFonts w:ascii="Calibri" w:hAnsi="Calibri" w:cs="Calibri" w:eastAsia="Calibri"/>
                <w:b w:val="0"/>
                <w:i w:val="0"/>
                <w:sz w:val="18"/>
                <w:szCs w:val="18"/>
              </w:rPr>
              <w:t>Service review with the MSSP (if outsourced)</w:t>
            </w:r>
          </w:p>
        </w:tc>
        <w:tc>
          <w:tcPr>
            <w:tcW w:type="dxa" w:w="1701"/>
          </w:tcPr>
          <w:p>
            <w:r/>
            <w:r>
              <w:rPr>
                <w:rFonts w:ascii="Calibri" w:hAnsi="Calibri" w:cs="Calibri" w:eastAsia="Calibri"/>
                <w:b w:val="0"/>
                <w:i w:val="0"/>
                <w:sz w:val="18"/>
                <w:szCs w:val="18"/>
              </w:rPr>
              <w:t>Monthly</w:t>
            </w:r>
          </w:p>
        </w:tc>
        <w:tc>
          <w:tcPr>
            <w:tcW w:type="dxa" w:w="2551"/>
          </w:tcPr>
          <w:p>
            <w:r/>
            <w:r>
              <w:rPr>
                <w:rFonts w:ascii="Calibri" w:hAnsi="Calibri" w:cs="Calibri" w:eastAsia="Calibri"/>
                <w:b w:val="0"/>
                <w:i w:val="0"/>
                <w:sz w:val="18"/>
                <w:szCs w:val="18"/>
              </w:rPr>
              <w:t>Security Manager</w:t>
            </w:r>
          </w:p>
        </w:tc>
      </w:tr>
    </w:tbl>
    <w:p>
      <w:pPr>
        <w:spacing w:after="40"/>
      </w:pPr>
    </w:p>
    <w:p>
      <w:pPr>
        <w:pStyle w:val="Heading2"/>
        <w:keepNext/>
        <w:spacing w:before="120" w:after="80"/>
      </w:pPr>
      <w:r>
        <w:rPr>
          <w:rFonts w:ascii="Calibri" w:hAnsi="Calibri" w:cs="Calibri" w:eastAsia="Calibri"/>
          <w:b/>
          <w:i w:val="0"/>
          <w:color w:val="1F3864"/>
          <w:sz w:val="24"/>
          <w:szCs w:val="24"/>
          <w:bCs/>
        </w:rPr>
        <w:t>4.4 Escalation Matrix</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who is contacted, how, and when.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685"/>
        <w:gridCol w:w="2835"/>
        <w:gridCol w:w="2835"/>
      </w:tblGrid>
      <w:tr>
        <w:trPr>
          <w:tblHeader w:val="true"/>
        </w:trPr>
        <w:tc>
          <w:tcPr>
            <w:tcW w:type="dxa" w:w="3685"/>
            <w:shd w:val="clear" w:color="auto" w:fill="1F3864"/>
          </w:tcPr>
          <w:p>
            <w:r/>
            <w:r>
              <w:rPr>
                <w:rFonts w:ascii="Calibri" w:hAnsi="Calibri" w:cs="Calibri" w:eastAsia="Calibri"/>
                <w:b/>
                <w:i w:val="0"/>
                <w:color w:val="FFFFFF"/>
                <w:sz w:val="18"/>
                <w:szCs w:val="18"/>
                <w:bCs/>
              </w:rPr>
              <w:t>Condition</w:t>
            </w:r>
          </w:p>
        </w:tc>
        <w:tc>
          <w:tcPr>
            <w:tcW w:type="dxa" w:w="2835"/>
            <w:shd w:val="clear" w:color="auto" w:fill="1F3864"/>
          </w:tcPr>
          <w:p>
            <w:r/>
            <w:r>
              <w:rPr>
                <w:rFonts w:ascii="Calibri" w:hAnsi="Calibri" w:cs="Calibri" w:eastAsia="Calibri"/>
                <w:b/>
                <w:i w:val="0"/>
                <w:color w:val="FFFFFF"/>
                <w:sz w:val="18"/>
                <w:szCs w:val="18"/>
                <w:bCs/>
              </w:rPr>
              <w:t>Contact</w:t>
            </w:r>
          </w:p>
        </w:tc>
        <w:tc>
          <w:tcPr>
            <w:tcW w:type="dxa" w:w="2835"/>
            <w:shd w:val="clear" w:color="auto" w:fill="1F3864"/>
          </w:tcPr>
          <w:p>
            <w:r/>
            <w:r>
              <w:rPr>
                <w:rFonts w:ascii="Calibri" w:hAnsi="Calibri" w:cs="Calibri" w:eastAsia="Calibri"/>
                <w:b/>
                <w:i w:val="0"/>
                <w:color w:val="FFFFFF"/>
                <w:sz w:val="18"/>
                <w:szCs w:val="18"/>
                <w:bCs/>
              </w:rPr>
              <w:t>Method</w:t>
            </w:r>
          </w:p>
        </w:tc>
      </w:tr>
      <w:tr>
        <w:tc>
          <w:tcPr>
            <w:tcW w:type="dxa" w:w="3685"/>
          </w:tcPr>
          <w:p>
            <w:r/>
            <w:r>
              <w:rPr>
                <w:rFonts w:ascii="Calibri" w:hAnsi="Calibri" w:cs="Calibri" w:eastAsia="Calibri"/>
                <w:b w:val="0"/>
                <w:i w:val="0"/>
                <w:sz w:val="18"/>
                <w:szCs w:val="18"/>
              </w:rPr>
              <w:t>Critical alert or confirmed compromise</w:t>
            </w:r>
          </w:p>
        </w:tc>
        <w:tc>
          <w:tcPr>
            <w:tcW w:type="dxa" w:w="2835"/>
          </w:tcPr>
          <w:p>
            <w:r/>
            <w:r>
              <w:rPr>
                <w:rFonts w:ascii="Calibri" w:hAnsi="Calibri" w:cs="Calibri" w:eastAsia="Calibri"/>
                <w:b w:val="0"/>
                <w:i w:val="0"/>
                <w:sz w:val="18"/>
                <w:szCs w:val="18"/>
              </w:rPr>
              <w:t>Security Manager and IT on-call</w:t>
            </w:r>
          </w:p>
        </w:tc>
        <w:tc>
          <w:tcPr>
            <w:tcW w:type="dxa" w:w="2835"/>
          </w:tcPr>
          <w:p>
            <w:r/>
            <w:r>
              <w:rPr>
                <w:rFonts w:ascii="Calibri" w:hAnsi="Calibri" w:cs="Calibri" w:eastAsia="Calibri"/>
                <w:b w:val="0"/>
                <w:i w:val="0"/>
                <w:sz w:val="18"/>
                <w:szCs w:val="18"/>
              </w:rPr>
              <w:t>MSSP phone call within 15 minutes, then ticket</w:t>
            </w:r>
          </w:p>
        </w:tc>
      </w:tr>
      <w:tr>
        <w:tc>
          <w:tcPr>
            <w:tcW w:type="dxa" w:w="3685"/>
          </w:tcPr>
          <w:p>
            <w:r/>
            <w:r>
              <w:rPr>
                <w:rFonts w:ascii="Calibri" w:hAnsi="Calibri" w:cs="Calibri" w:eastAsia="Calibri"/>
                <w:b w:val="0"/>
                <w:i w:val="0"/>
                <w:sz w:val="18"/>
                <w:szCs w:val="18"/>
              </w:rPr>
              <w:t>Suspected patient data exposure</w:t>
            </w:r>
          </w:p>
        </w:tc>
        <w:tc>
          <w:tcPr>
            <w:tcW w:type="dxa" w:w="2835"/>
          </w:tcPr>
          <w:p>
            <w:r/>
            <w:r>
              <w:rPr>
                <w:rFonts w:ascii="Calibri" w:hAnsi="Calibri" w:cs="Calibri" w:eastAsia="Calibri"/>
                <w:b w:val="0"/>
                <w:i w:val="0"/>
                <w:sz w:val="18"/>
                <w:szCs w:val="18"/>
              </w:rPr>
              <w:t>Security Manager and DPO</w:t>
            </w:r>
          </w:p>
        </w:tc>
        <w:tc>
          <w:tcPr>
            <w:tcW w:type="dxa" w:w="2835"/>
          </w:tcPr>
          <w:p>
            <w:r/>
            <w:r>
              <w:rPr>
                <w:rFonts w:ascii="Calibri" w:hAnsi="Calibri" w:cs="Calibri" w:eastAsia="Calibri"/>
                <w:b w:val="0"/>
                <w:i w:val="0"/>
                <w:sz w:val="18"/>
                <w:szCs w:val="18"/>
              </w:rPr>
              <w:t>Phone call</w:t>
            </w:r>
          </w:p>
        </w:tc>
      </w:tr>
      <w:tr>
        <w:tc>
          <w:tcPr>
            <w:tcW w:type="dxa" w:w="3685"/>
          </w:tcPr>
          <w:p>
            <w:r/>
            <w:r>
              <w:rPr>
                <w:rFonts w:ascii="Calibri" w:hAnsi="Calibri" w:cs="Calibri" w:eastAsia="Calibri"/>
                <w:b w:val="0"/>
                <w:i w:val="0"/>
                <w:sz w:val="18"/>
                <w:szCs w:val="18"/>
              </w:rPr>
              <w:t>Clinical system outage</w:t>
            </w:r>
          </w:p>
        </w:tc>
        <w:tc>
          <w:tcPr>
            <w:tcW w:type="dxa" w:w="2835"/>
          </w:tcPr>
          <w:p>
            <w:r/>
            <w:r>
              <w:rPr>
                <w:rFonts w:ascii="Calibri" w:hAnsi="Calibri" w:cs="Calibri" w:eastAsia="Calibri"/>
                <w:b w:val="0"/>
                <w:i w:val="0"/>
                <w:sz w:val="18"/>
                <w:szCs w:val="18"/>
              </w:rPr>
              <w:t>IT on-call, CIO, and nursing supervisor on duty</w:t>
            </w:r>
          </w:p>
        </w:tc>
        <w:tc>
          <w:tcPr>
            <w:tcW w:type="dxa" w:w="2835"/>
          </w:tcPr>
          <w:p>
            <w:r/>
            <w:r>
              <w:rPr>
                <w:rFonts w:ascii="Calibri" w:hAnsi="Calibri" w:cs="Calibri" w:eastAsia="Calibri"/>
                <w:b w:val="0"/>
                <w:i w:val="0"/>
                <w:sz w:val="18"/>
                <w:szCs w:val="18"/>
              </w:rPr>
              <w:t>Phone call</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Give the MSSP clear authority to isolate endpoints for Critical alerts, agreed in advance.</w:t>
      </w:r>
    </w:p>
    <w:p>
      <w:pPr>
        <w:pStyle w:val="ListBullet"/>
        <w:spacing w:after="40"/>
      </w:pPr>
      <w:r>
        <w:rPr>
          <w:rFonts w:ascii="Calibri" w:hAnsi="Calibri" w:cs="Calibri" w:eastAsia="Calibri"/>
          <w:b w:val="0"/>
          <w:i w:val="0"/>
          <w:sz w:val="21"/>
          <w:szCs w:val="21"/>
        </w:rPr>
        <w:t>Keep an internal owner who understands the business context the MSSP lacks.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Outsourcing monitoring and assuming the MSSP will also respond and decide.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DE.CM-03: Personnel activity and technology usage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p>
            <w:r>
              <w:rPr>
                <w:rFonts w:ascii="Calibri" w:hAnsi="Calibri" w:cs="Calibri" w:eastAsia="Calibri"/>
                <w:b w:val="0"/>
                <w:i w:val="0"/>
                <w:sz w:val="18"/>
                <w:szCs w:val="18"/>
              </w:rPr>
              <w:t>DE.AE-06: Information on adverse events is provided to authorized staff and tools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SI-4, IR-5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DE-PRC-001  |  Security Monitoring Operations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