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Log Source and Monitoring Coverage Register</w:t>
      </w:r>
    </w:p>
    <w:p>
      <w:pPr>
        <w:spacing w:after="80" w:before="0"/>
      </w:pPr>
      <w:r>
        <w:rPr>
          <w:rFonts w:ascii="Calibri" w:hAnsi="Calibri" w:cs="Calibri" w:eastAsia="Calibri"/>
          <w:b w:val="0"/>
          <w:i w:val="0"/>
          <w:color w:val="595959"/>
          <w:sz w:val="18"/>
          <w:szCs w:val="18"/>
        </w:rPr>
        <w:t>DE-REG-001  |  Register  |  Continuous Monitoring (DE.CM)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DE-REG-001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Log Source and Monitoring Coverage Register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SOC Lead (MSSP service manager with Security Manager oversight)</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Quarterly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Detect (DE)</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Continuous Monitoring (DE.CM)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8.15 and 8.16</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9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SOC Lead (MSSP service manager with Security Manager oversight)</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 June 2026</w:t>
            </w:r>
          </w:p>
        </w:tc>
        <w:tc>
          <w:tcPr>
            <w:tcW w:type="dxa" w:w="3742"/>
          </w:tcPr>
          <w:p>
            <w:r/>
            <w:r>
              <w:rPr>
                <w:rFonts w:ascii="Calibri" w:hAnsi="Calibri" w:cs="Calibri" w:eastAsia="Calibri"/>
                <w:b w:val="0"/>
                <w:i w:val="0"/>
                <w:sz w:val="18"/>
                <w:szCs w:val="18"/>
              </w:rPr>
              <w:t>Updated after onboarding the managed security service provider (MSSP) for 24x7 monitoring in March 2026.</w:t>
            </w:r>
          </w:p>
        </w:tc>
        <w:tc>
          <w:tcPr>
            <w:tcW w:type="dxa" w:w="1587"/>
          </w:tcPr>
          <w:p>
            <w:r/>
            <w:r>
              <w:rPr>
                <w:rFonts w:ascii="Calibri" w:hAnsi="Calibri" w:cs="Calibri" w:eastAsia="Calibri"/>
                <w:b w:val="0"/>
                <w:i w:val="0"/>
                <w:sz w:val="18"/>
                <w:szCs w:val="18"/>
              </w:rPr>
              <w:t>SOC Lead (MSSP service manager with Security Manager oversight)</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lists log sources, whether they are collected and monitored, and their coverage status, so that blind spots are visible (DE.CM-01, DE.CM-09, PR.PS-04).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(DE-STD-001)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Source</w:t>
            </w:r>
          </w:p>
        </w:tc>
        <w:tc>
          <w:tcPr>
            <w:tcW w:type="dxa" w:w="4535"/>
          </w:tcPr>
          <w:p>
            <w:r/>
            <w:r>
              <w:rPr>
                <w:rFonts w:ascii="Calibri" w:hAnsi="Calibri" w:cs="Calibri" w:eastAsia="Calibri"/>
                <w:b w:val="0"/>
                <w:i w:val="0"/>
                <w:sz w:val="18"/>
                <w:szCs w:val="18"/>
              </w:rPr>
              <w:t>System or device group.</w:t>
            </w:r>
          </w:p>
        </w:tc>
        <w:tc>
          <w:tcPr>
            <w:tcW w:type="dxa" w:w="2551"/>
          </w:tcPr>
          <w:p>
            <w:r/>
          </w:p>
        </w:tc>
      </w:tr>
      <w:tr>
        <w:tc>
          <w:tcPr>
            <w:tcW w:type="dxa" w:w="2268"/>
          </w:tcPr>
          <w:p>
            <w:r/>
            <w:r>
              <w:rPr>
                <w:rFonts w:ascii="Calibri" w:hAnsi="Calibri" w:cs="Calibri" w:eastAsia="Calibri"/>
                <w:b w:val="0"/>
                <w:i w:val="0"/>
                <w:sz w:val="18"/>
                <w:szCs w:val="18"/>
              </w:rPr>
              <w:t>Criticality</w:t>
            </w:r>
          </w:p>
        </w:tc>
        <w:tc>
          <w:tcPr>
            <w:tcW w:type="dxa" w:w="4535"/>
          </w:tcPr>
          <w:p>
            <w:r/>
            <w:r>
              <w:rPr>
                <w:rFonts w:ascii="Calibri" w:hAnsi="Calibri" w:cs="Calibri" w:eastAsia="Calibri"/>
                <w:b w:val="0"/>
                <w:i w:val="0"/>
                <w:sz w:val="18"/>
                <w:szCs w:val="18"/>
              </w:rPr>
              <w:t>Critical, High, Medium.</w:t>
            </w:r>
          </w:p>
        </w:tc>
        <w:tc>
          <w:tcPr>
            <w:tcW w:type="dxa" w:w="2551"/>
          </w:tcPr>
          <w:p>
            <w:r/>
          </w:p>
        </w:tc>
      </w:tr>
      <w:tr>
        <w:tc>
          <w:tcPr>
            <w:tcW w:type="dxa" w:w="2268"/>
          </w:tcPr>
          <w:p>
            <w:r/>
            <w:r>
              <w:rPr>
                <w:rFonts w:ascii="Calibri" w:hAnsi="Calibri" w:cs="Calibri" w:eastAsia="Calibri"/>
                <w:b w:val="0"/>
                <w:i w:val="0"/>
                <w:sz w:val="18"/>
                <w:szCs w:val="18"/>
              </w:rPr>
              <w:t>Log types</w:t>
            </w:r>
          </w:p>
        </w:tc>
        <w:tc>
          <w:tcPr>
            <w:tcW w:type="dxa" w:w="4535"/>
          </w:tcPr>
          <w:p>
            <w:r/>
            <w:r>
              <w:rPr>
                <w:rFonts w:ascii="Calibri" w:hAnsi="Calibri" w:cs="Calibri" w:eastAsia="Calibri"/>
                <w:b w:val="0"/>
                <w:i w:val="0"/>
                <w:sz w:val="18"/>
                <w:szCs w:val="18"/>
              </w:rPr>
              <w:t>Events collected.</w:t>
            </w:r>
          </w:p>
        </w:tc>
        <w:tc>
          <w:tcPr>
            <w:tcW w:type="dxa" w:w="2551"/>
          </w:tcPr>
          <w:p>
            <w:r/>
          </w:p>
        </w:tc>
      </w:tr>
      <w:tr>
        <w:tc>
          <w:tcPr>
            <w:tcW w:type="dxa" w:w="2268"/>
          </w:tcPr>
          <w:p>
            <w:r/>
            <w:r>
              <w:rPr>
                <w:rFonts w:ascii="Calibri" w:hAnsi="Calibri" w:cs="Calibri" w:eastAsia="Calibri"/>
                <w:b w:val="0"/>
                <w:i w:val="0"/>
                <w:sz w:val="18"/>
                <w:szCs w:val="18"/>
              </w:rPr>
              <w:t>Collected (Yes, Partial, No)</w:t>
            </w:r>
          </w:p>
        </w:tc>
        <w:tc>
          <w:tcPr>
            <w:tcW w:type="dxa" w:w="4535"/>
          </w:tcPr>
          <w:p>
            <w:r/>
            <w:r>
              <w:rPr>
                <w:rFonts w:ascii="Calibri" w:hAnsi="Calibri" w:cs="Calibri" w:eastAsia="Calibri"/>
                <w:b w:val="0"/>
                <w:i w:val="0"/>
                <w:sz w:val="18"/>
                <w:szCs w:val="18"/>
              </w:rPr>
              <w:t>Status.</w:t>
            </w:r>
          </w:p>
        </w:tc>
        <w:tc>
          <w:tcPr>
            <w:tcW w:type="dxa" w:w="2551"/>
          </w:tcPr>
          <w:p>
            <w:r/>
          </w:p>
        </w:tc>
      </w:tr>
      <w:tr>
        <w:tc>
          <w:tcPr>
            <w:tcW w:type="dxa" w:w="2268"/>
          </w:tcPr>
          <w:p>
            <w:r/>
            <w:r>
              <w:rPr>
                <w:rFonts w:ascii="Calibri" w:hAnsi="Calibri" w:cs="Calibri" w:eastAsia="Calibri"/>
                <w:b w:val="0"/>
                <w:i w:val="0"/>
                <w:sz w:val="18"/>
                <w:szCs w:val="18"/>
              </w:rPr>
              <w:t>Monitored use cases</w:t>
            </w:r>
          </w:p>
        </w:tc>
        <w:tc>
          <w:tcPr>
            <w:tcW w:type="dxa" w:w="4535"/>
          </w:tcPr>
          <w:p>
            <w:r/>
            <w:r>
              <w:rPr>
                <w:rFonts w:ascii="Calibri" w:hAnsi="Calibri" w:cs="Calibri" w:eastAsia="Calibri"/>
                <w:b w:val="0"/>
                <w:i w:val="0"/>
                <w:sz w:val="18"/>
                <w:szCs w:val="18"/>
              </w:rPr>
              <w:t>From DE-REG-002.</w:t>
            </w:r>
          </w:p>
        </w:tc>
        <w:tc>
          <w:tcPr>
            <w:tcW w:type="dxa" w:w="2551"/>
          </w:tcPr>
          <w:p>
            <w:r/>
          </w:p>
        </w:tc>
      </w:tr>
      <w:tr>
        <w:tc>
          <w:tcPr>
            <w:tcW w:type="dxa" w:w="2268"/>
          </w:tcPr>
          <w:p>
            <w:r/>
            <w:r>
              <w:rPr>
                <w:rFonts w:ascii="Calibri" w:hAnsi="Calibri" w:cs="Calibri" w:eastAsia="Calibri"/>
                <w:b w:val="0"/>
                <w:i w:val="0"/>
                <w:sz w:val="18"/>
                <w:szCs w:val="18"/>
              </w:rPr>
              <w:t>Retention</w:t>
            </w:r>
          </w:p>
        </w:tc>
        <w:tc>
          <w:tcPr>
            <w:tcW w:type="dxa" w:w="4535"/>
          </w:tcPr>
          <w:p>
            <w:r/>
            <w:r>
              <w:rPr>
                <w:rFonts w:ascii="Calibri" w:hAnsi="Calibri" w:cs="Calibri" w:eastAsia="Calibri"/>
                <w:b w:val="0"/>
                <w:i w:val="0"/>
                <w:sz w:val="18"/>
                <w:szCs w:val="18"/>
              </w:rPr>
              <w:t>Online and archive.</w:t>
            </w:r>
          </w:p>
        </w:tc>
        <w:tc>
          <w:tcPr>
            <w:tcW w:type="dxa" w:w="2551"/>
          </w:tcPr>
          <w:p>
            <w:r/>
          </w:p>
        </w:tc>
      </w:tr>
      <w:tr>
        <w:tc>
          <w:tcPr>
            <w:tcW w:type="dxa" w:w="2268"/>
          </w:tcPr>
          <w:p>
            <w:r/>
            <w:r>
              <w:rPr>
                <w:rFonts w:ascii="Calibri" w:hAnsi="Calibri" w:cs="Calibri" w:eastAsia="Calibri"/>
                <w:b w:val="0"/>
                <w:i w:val="0"/>
                <w:sz w:val="18"/>
                <w:szCs w:val="18"/>
              </w:rPr>
              <w:t>Gap and action</w:t>
            </w:r>
          </w:p>
        </w:tc>
        <w:tc>
          <w:tcPr>
            <w:tcW w:type="dxa" w:w="4535"/>
          </w:tcPr>
          <w:p>
            <w:r/>
            <w:r>
              <w:rPr>
                <w:rFonts w:ascii="Calibri" w:hAnsi="Calibri" w:cs="Calibri" w:eastAsia="Calibri"/>
                <w:b w:val="0"/>
                <w:i w:val="0"/>
                <w:sz w:val="18"/>
                <w:szCs w:val="18"/>
              </w:rPr>
              <w:t>Plan to close gaps.</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2162"/>
        <w:gridCol w:w="2162"/>
        <w:gridCol w:w="2162"/>
        <w:gridCol w:w="2162"/>
        <w:gridCol w:w="2162"/>
        <w:gridCol w:w="2162"/>
        <w:gridCol w:w="2162"/>
      </w:tblGrid>
      <w:tr>
        <w:trPr>
          <w:tblHeader w:val="true"/>
        </w:trPr>
        <w:tc>
          <w:tcPr>
            <w:tcW w:type="dxa" w:w="2162"/>
            <w:shd w:val="clear" w:color="auto" w:fill="1F3864"/>
          </w:tcPr>
          <w:p>
            <w:r/>
            <w:r>
              <w:rPr>
                <w:rFonts w:ascii="Calibri" w:hAnsi="Calibri" w:cs="Calibri" w:eastAsia="Calibri"/>
                <w:b/>
                <w:i w:val="0"/>
                <w:color w:val="FFFFFF"/>
                <w:sz w:val="16"/>
                <w:szCs w:val="16"/>
                <w:bCs/>
              </w:rPr>
              <w:t>Source</w:t>
            </w:r>
          </w:p>
        </w:tc>
        <w:tc>
          <w:tcPr>
            <w:tcW w:type="dxa" w:w="2162"/>
            <w:shd w:val="clear" w:color="auto" w:fill="1F3864"/>
          </w:tcPr>
          <w:p>
            <w:r/>
            <w:r>
              <w:rPr>
                <w:rFonts w:ascii="Calibri" w:hAnsi="Calibri" w:cs="Calibri" w:eastAsia="Calibri"/>
                <w:b/>
                <w:i w:val="0"/>
                <w:color w:val="FFFFFF"/>
                <w:sz w:val="16"/>
                <w:szCs w:val="16"/>
                <w:bCs/>
              </w:rPr>
              <w:t>Criticality</w:t>
            </w:r>
          </w:p>
        </w:tc>
        <w:tc>
          <w:tcPr>
            <w:tcW w:type="dxa" w:w="2162"/>
            <w:shd w:val="clear" w:color="auto" w:fill="1F3864"/>
          </w:tcPr>
          <w:p>
            <w:r/>
            <w:r>
              <w:rPr>
                <w:rFonts w:ascii="Calibri" w:hAnsi="Calibri" w:cs="Calibri" w:eastAsia="Calibri"/>
                <w:b/>
                <w:i w:val="0"/>
                <w:color w:val="FFFFFF"/>
                <w:sz w:val="16"/>
                <w:szCs w:val="16"/>
                <w:bCs/>
              </w:rPr>
              <w:t>Log types</w:t>
            </w:r>
          </w:p>
        </w:tc>
        <w:tc>
          <w:tcPr>
            <w:tcW w:type="dxa" w:w="2162"/>
            <w:shd w:val="clear" w:color="auto" w:fill="1F3864"/>
          </w:tcPr>
          <w:p>
            <w:r/>
            <w:r>
              <w:rPr>
                <w:rFonts w:ascii="Calibri" w:hAnsi="Calibri" w:cs="Calibri" w:eastAsia="Calibri"/>
                <w:b/>
                <w:i w:val="0"/>
                <w:color w:val="FFFFFF"/>
                <w:sz w:val="16"/>
                <w:szCs w:val="16"/>
                <w:bCs/>
              </w:rPr>
              <w:t>Collected (Yes, Partial, No)</w:t>
            </w:r>
          </w:p>
        </w:tc>
        <w:tc>
          <w:tcPr>
            <w:tcW w:type="dxa" w:w="2162"/>
            <w:shd w:val="clear" w:color="auto" w:fill="1F3864"/>
          </w:tcPr>
          <w:p>
            <w:r/>
            <w:r>
              <w:rPr>
                <w:rFonts w:ascii="Calibri" w:hAnsi="Calibri" w:cs="Calibri" w:eastAsia="Calibri"/>
                <w:b/>
                <w:i w:val="0"/>
                <w:color w:val="FFFFFF"/>
                <w:sz w:val="16"/>
                <w:szCs w:val="16"/>
                <w:bCs/>
              </w:rPr>
              <w:t>Monitored use cases</w:t>
            </w:r>
          </w:p>
        </w:tc>
        <w:tc>
          <w:tcPr>
            <w:tcW w:type="dxa" w:w="2162"/>
            <w:shd w:val="clear" w:color="auto" w:fill="1F3864"/>
          </w:tcPr>
          <w:p>
            <w:r/>
            <w:r>
              <w:rPr>
                <w:rFonts w:ascii="Calibri" w:hAnsi="Calibri" w:cs="Calibri" w:eastAsia="Calibri"/>
                <w:b/>
                <w:i w:val="0"/>
                <w:color w:val="FFFFFF"/>
                <w:sz w:val="16"/>
                <w:szCs w:val="16"/>
                <w:bCs/>
              </w:rPr>
              <w:t>Retention</w:t>
            </w:r>
          </w:p>
        </w:tc>
        <w:tc>
          <w:tcPr>
            <w:tcW w:type="dxa" w:w="2162"/>
            <w:shd w:val="clear" w:color="auto" w:fill="1F3864"/>
          </w:tcPr>
          <w:p>
            <w:r/>
            <w:r>
              <w:rPr>
                <w:rFonts w:ascii="Calibri" w:hAnsi="Calibri" w:cs="Calibri" w:eastAsia="Calibri"/>
                <w:b/>
                <w:i w:val="0"/>
                <w:color w:val="FFFFFF"/>
                <w:sz w:val="16"/>
                <w:szCs w:val="16"/>
                <w:bCs/>
              </w:rPr>
              <w:t>Gap and action</w:t>
            </w:r>
          </w:p>
        </w:tc>
      </w:tr>
      <w:tr>
        <w:tc>
          <w:tcPr>
            <w:tcW w:type="dxa" w:w="2162"/>
          </w:tcPr>
          <w:p>
            <w:r/>
            <w:r>
              <w:rPr>
                <w:rFonts w:ascii="Calibri" w:hAnsi="Calibri" w:cs="Calibri" w:eastAsia="Calibri"/>
                <w:b w:val="0"/>
                <w:i w:val="0"/>
                <w:sz w:val="16"/>
                <w:szCs w:val="16"/>
              </w:rPr>
              <w:t>Active Directory and Entra ID</w:t>
            </w:r>
          </w:p>
        </w:tc>
        <w:tc>
          <w:tcPr>
            <w:tcW w:type="dxa" w:w="2162"/>
          </w:tcPr>
          <w:p>
            <w:r/>
            <w:r>
              <w:rPr>
                <w:rFonts w:ascii="Calibri" w:hAnsi="Calibri" w:cs="Calibri" w:eastAsia="Calibri"/>
                <w:b w:val="0"/>
                <w:i w:val="0"/>
                <w:sz w:val="16"/>
                <w:szCs w:val="16"/>
              </w:rPr>
              <w:t>Critical</w:t>
            </w:r>
          </w:p>
        </w:tc>
        <w:tc>
          <w:tcPr>
            <w:tcW w:type="dxa" w:w="2162"/>
          </w:tcPr>
          <w:p>
            <w:r/>
            <w:r>
              <w:rPr>
                <w:rFonts w:ascii="Calibri" w:hAnsi="Calibri" w:cs="Calibri" w:eastAsia="Calibri"/>
                <w:b w:val="0"/>
                <w:i w:val="0"/>
                <w:sz w:val="16"/>
                <w:szCs w:val="16"/>
              </w:rPr>
              <w:t>Sign-ins, account and group changes, MFA</w:t>
            </w:r>
          </w:p>
        </w:tc>
        <w:tc>
          <w:tcPr>
            <w:tcW w:type="dxa" w:w="2162"/>
          </w:tcPr>
          <w:p>
            <w:r/>
            <w:r>
              <w:rPr>
                <w:rFonts w:ascii="Calibri" w:hAnsi="Calibri" w:cs="Calibri" w:eastAsia="Calibri"/>
                <w:b w:val="0"/>
                <w:i w:val="0"/>
                <w:sz w:val="16"/>
                <w:szCs w:val="16"/>
              </w:rPr>
              <w:t>Yes</w:t>
            </w:r>
          </w:p>
        </w:tc>
        <w:tc>
          <w:tcPr>
            <w:tcW w:type="dxa" w:w="2162"/>
          </w:tcPr>
          <w:p>
            <w:r/>
            <w:r>
              <w:rPr>
                <w:rFonts w:ascii="Calibri" w:hAnsi="Calibri" w:cs="Calibri" w:eastAsia="Calibri"/>
                <w:b w:val="0"/>
                <w:i w:val="0"/>
                <w:sz w:val="16"/>
                <w:szCs w:val="16"/>
              </w:rPr>
              <w:t>UC-01, UC-02, UC-05</w:t>
            </w:r>
          </w:p>
        </w:tc>
        <w:tc>
          <w:tcPr>
            <w:tcW w:type="dxa" w:w="2162"/>
          </w:tcPr>
          <w:p>
            <w:r/>
            <w:r>
              <w:rPr>
                <w:rFonts w:ascii="Calibri" w:hAnsi="Calibri" w:cs="Calibri" w:eastAsia="Calibri"/>
                <w:b w:val="0"/>
                <w:i w:val="0"/>
                <w:sz w:val="16"/>
                <w:szCs w:val="16"/>
              </w:rPr>
              <w:t>1 year / 2 years</w:t>
            </w:r>
          </w:p>
        </w:tc>
        <w:tc>
          <w:tcPr>
            <w:tcW w:type="dxa" w:w="2162"/>
          </w:tcPr>
          <w:p>
            <w:r/>
            <w:r>
              <w:rPr>
                <w:rFonts w:ascii="Calibri" w:hAnsi="Calibri" w:cs="Calibri" w:eastAsia="Calibri"/>
                <w:b w:val="0"/>
                <w:i w:val="0"/>
                <w:sz w:val="16"/>
                <w:szCs w:val="16"/>
              </w:rPr>
              <w:t>None</w:t>
            </w:r>
          </w:p>
        </w:tc>
      </w:tr>
      <w:tr>
        <w:tc>
          <w:tcPr>
            <w:tcW w:type="dxa" w:w="2162"/>
          </w:tcPr>
          <w:p>
            <w:r/>
            <w:r>
              <w:rPr>
                <w:rFonts w:ascii="Calibri" w:hAnsi="Calibri" w:cs="Calibri" w:eastAsia="Calibri"/>
                <w:b w:val="0"/>
                <w:i w:val="0"/>
                <w:sz w:val="16"/>
                <w:szCs w:val="16"/>
              </w:rPr>
              <w:t>EDR (workstations and servers)</w:t>
            </w:r>
          </w:p>
        </w:tc>
        <w:tc>
          <w:tcPr>
            <w:tcW w:type="dxa" w:w="2162"/>
          </w:tcPr>
          <w:p>
            <w:r/>
            <w:r>
              <w:rPr>
                <w:rFonts w:ascii="Calibri" w:hAnsi="Calibri" w:cs="Calibri" w:eastAsia="Calibri"/>
                <w:b w:val="0"/>
                <w:i w:val="0"/>
                <w:sz w:val="16"/>
                <w:szCs w:val="16"/>
              </w:rPr>
              <w:t>Critical</w:t>
            </w:r>
          </w:p>
        </w:tc>
        <w:tc>
          <w:tcPr>
            <w:tcW w:type="dxa" w:w="2162"/>
          </w:tcPr>
          <w:p>
            <w:r/>
            <w:r>
              <w:rPr>
                <w:rFonts w:ascii="Calibri" w:hAnsi="Calibri" w:cs="Calibri" w:eastAsia="Calibri"/>
                <w:b w:val="0"/>
                <w:i w:val="0"/>
                <w:sz w:val="16"/>
                <w:szCs w:val="16"/>
              </w:rPr>
              <w:t>Detections, process telemetry</w:t>
            </w:r>
          </w:p>
        </w:tc>
        <w:tc>
          <w:tcPr>
            <w:tcW w:type="dxa" w:w="2162"/>
          </w:tcPr>
          <w:p>
            <w:r/>
            <w:r>
              <w:rPr>
                <w:rFonts w:ascii="Calibri" w:hAnsi="Calibri" w:cs="Calibri" w:eastAsia="Calibri"/>
                <w:b w:val="0"/>
                <w:i w:val="0"/>
                <w:sz w:val="16"/>
                <w:szCs w:val="16"/>
              </w:rPr>
              <w:t>Yes</w:t>
            </w:r>
          </w:p>
        </w:tc>
        <w:tc>
          <w:tcPr>
            <w:tcW w:type="dxa" w:w="2162"/>
          </w:tcPr>
          <w:p>
            <w:r/>
            <w:r>
              <w:rPr>
                <w:rFonts w:ascii="Calibri" w:hAnsi="Calibri" w:cs="Calibri" w:eastAsia="Calibri"/>
                <w:b w:val="0"/>
                <w:i w:val="0"/>
                <w:sz w:val="16"/>
                <w:szCs w:val="16"/>
              </w:rPr>
              <w:t>UC-03, UC-04</w:t>
            </w:r>
          </w:p>
        </w:tc>
        <w:tc>
          <w:tcPr>
            <w:tcW w:type="dxa" w:w="2162"/>
          </w:tcPr>
          <w:p>
            <w:r/>
            <w:r>
              <w:rPr>
                <w:rFonts w:ascii="Calibri" w:hAnsi="Calibri" w:cs="Calibri" w:eastAsia="Calibri"/>
                <w:b w:val="0"/>
                <w:i w:val="0"/>
                <w:sz w:val="16"/>
                <w:szCs w:val="16"/>
              </w:rPr>
              <w:t>90 days in EDR; alerts 1 year</w:t>
            </w:r>
          </w:p>
        </w:tc>
        <w:tc>
          <w:tcPr>
            <w:tcW w:type="dxa" w:w="2162"/>
          </w:tcPr>
          <w:p>
            <w:r/>
            <w:r>
              <w:rPr>
                <w:rFonts w:ascii="Calibri" w:hAnsi="Calibri" w:cs="Calibri" w:eastAsia="Calibri"/>
                <w:b w:val="0"/>
                <w:i w:val="0"/>
                <w:sz w:val="16"/>
                <w:szCs w:val="16"/>
              </w:rPr>
              <w:t>None</w:t>
            </w:r>
          </w:p>
        </w:tc>
      </w:tr>
      <w:tr>
        <w:tc>
          <w:tcPr>
            <w:tcW w:type="dxa" w:w="2162"/>
          </w:tcPr>
          <w:p>
            <w:r/>
            <w:r>
              <w:rPr>
                <w:rFonts w:ascii="Calibri" w:hAnsi="Calibri" w:cs="Calibri" w:eastAsia="Calibri"/>
                <w:b w:val="0"/>
                <w:i w:val="0"/>
                <w:sz w:val="16"/>
                <w:szCs w:val="16"/>
              </w:rPr>
              <w:t>Firewalls and VPN</w:t>
            </w:r>
          </w:p>
        </w:tc>
        <w:tc>
          <w:tcPr>
            <w:tcW w:type="dxa" w:w="2162"/>
          </w:tcPr>
          <w:p>
            <w:r/>
            <w:r>
              <w:rPr>
                <w:rFonts w:ascii="Calibri" w:hAnsi="Calibri" w:cs="Calibri" w:eastAsia="Calibri"/>
                <w:b w:val="0"/>
                <w:i w:val="0"/>
                <w:sz w:val="16"/>
                <w:szCs w:val="16"/>
              </w:rPr>
              <w:t>Critical</w:t>
            </w:r>
          </w:p>
        </w:tc>
        <w:tc>
          <w:tcPr>
            <w:tcW w:type="dxa" w:w="2162"/>
          </w:tcPr>
          <w:p>
            <w:r/>
            <w:r>
              <w:rPr>
                <w:rFonts w:ascii="Calibri" w:hAnsi="Calibri" w:cs="Calibri" w:eastAsia="Calibri"/>
                <w:b w:val="0"/>
                <w:i w:val="0"/>
                <w:sz w:val="16"/>
                <w:szCs w:val="16"/>
              </w:rPr>
              <w:t>Allow and deny, VPN sessions</w:t>
            </w:r>
          </w:p>
        </w:tc>
        <w:tc>
          <w:tcPr>
            <w:tcW w:type="dxa" w:w="2162"/>
          </w:tcPr>
          <w:p>
            <w:r/>
            <w:r>
              <w:rPr>
                <w:rFonts w:ascii="Calibri" w:hAnsi="Calibri" w:cs="Calibri" w:eastAsia="Calibri"/>
                <w:b w:val="0"/>
                <w:i w:val="0"/>
                <w:sz w:val="16"/>
                <w:szCs w:val="16"/>
              </w:rPr>
              <w:t>Yes</w:t>
            </w:r>
          </w:p>
        </w:tc>
        <w:tc>
          <w:tcPr>
            <w:tcW w:type="dxa" w:w="2162"/>
          </w:tcPr>
          <w:p>
            <w:r/>
            <w:r>
              <w:rPr>
                <w:rFonts w:ascii="Calibri" w:hAnsi="Calibri" w:cs="Calibri" w:eastAsia="Calibri"/>
                <w:b w:val="0"/>
                <w:i w:val="0"/>
                <w:sz w:val="16"/>
                <w:szCs w:val="16"/>
              </w:rPr>
              <w:t>UC-06</w:t>
            </w:r>
          </w:p>
        </w:tc>
        <w:tc>
          <w:tcPr>
            <w:tcW w:type="dxa" w:w="2162"/>
          </w:tcPr>
          <w:p>
            <w:r/>
            <w:r>
              <w:rPr>
                <w:rFonts w:ascii="Calibri" w:hAnsi="Calibri" w:cs="Calibri" w:eastAsia="Calibri"/>
                <w:b w:val="0"/>
                <w:i w:val="0"/>
                <w:sz w:val="16"/>
                <w:szCs w:val="16"/>
              </w:rPr>
              <w:t>1 year</w:t>
            </w:r>
          </w:p>
        </w:tc>
        <w:tc>
          <w:tcPr>
            <w:tcW w:type="dxa" w:w="2162"/>
          </w:tcPr>
          <w:p>
            <w:r/>
            <w:r>
              <w:rPr>
                <w:rFonts w:ascii="Calibri" w:hAnsi="Calibri" w:cs="Calibri" w:eastAsia="Calibri"/>
                <w:b w:val="0"/>
                <w:i w:val="0"/>
                <w:sz w:val="16"/>
                <w:szCs w:val="16"/>
              </w:rPr>
              <w:t>None</w:t>
            </w:r>
          </w:p>
        </w:tc>
      </w:tr>
      <w:tr>
        <w:tc>
          <w:tcPr>
            <w:tcW w:type="dxa" w:w="2162"/>
          </w:tcPr>
          <w:p>
            <w:r/>
            <w:r>
              <w:rPr>
                <w:rFonts w:ascii="Calibri" w:hAnsi="Calibri" w:cs="Calibri" w:eastAsia="Calibri"/>
                <w:b w:val="0"/>
                <w:i w:val="0"/>
                <w:sz w:val="16"/>
                <w:szCs w:val="16"/>
              </w:rPr>
              <w:t>HIS application audit log</w:t>
            </w:r>
          </w:p>
        </w:tc>
        <w:tc>
          <w:tcPr>
            <w:tcW w:type="dxa" w:w="2162"/>
          </w:tcPr>
          <w:p>
            <w:r/>
            <w:r>
              <w:rPr>
                <w:rFonts w:ascii="Calibri" w:hAnsi="Calibri" w:cs="Calibri" w:eastAsia="Calibri"/>
                <w:b w:val="0"/>
                <w:i w:val="0"/>
                <w:sz w:val="16"/>
                <w:szCs w:val="16"/>
              </w:rPr>
              <w:t>Critical</w:t>
            </w:r>
          </w:p>
        </w:tc>
        <w:tc>
          <w:tcPr>
            <w:tcW w:type="dxa" w:w="2162"/>
          </w:tcPr>
          <w:p>
            <w:r/>
            <w:r>
              <w:rPr>
                <w:rFonts w:ascii="Calibri" w:hAnsi="Calibri" w:cs="Calibri" w:eastAsia="Calibri"/>
                <w:b w:val="0"/>
                <w:i w:val="0"/>
                <w:sz w:val="16"/>
                <w:szCs w:val="16"/>
              </w:rPr>
              <w:t>Record access, exports, admin actions</w:t>
            </w:r>
          </w:p>
        </w:tc>
        <w:tc>
          <w:tcPr>
            <w:tcW w:type="dxa" w:w="2162"/>
          </w:tcPr>
          <w:p>
            <w:r/>
            <w:r>
              <w:rPr>
                <w:rFonts w:ascii="Calibri" w:hAnsi="Calibri" w:cs="Calibri" w:eastAsia="Calibri"/>
                <w:b w:val="0"/>
                <w:i w:val="0"/>
                <w:sz w:val="16"/>
                <w:szCs w:val="16"/>
              </w:rPr>
              <w:t>Partial</w:t>
            </w:r>
          </w:p>
        </w:tc>
        <w:tc>
          <w:tcPr>
            <w:tcW w:type="dxa" w:w="2162"/>
          </w:tcPr>
          <w:p>
            <w:r/>
            <w:r>
              <w:rPr>
                <w:rFonts w:ascii="Calibri" w:hAnsi="Calibri" w:cs="Calibri" w:eastAsia="Calibri"/>
                <w:b w:val="0"/>
                <w:i w:val="0"/>
                <w:sz w:val="16"/>
                <w:szCs w:val="16"/>
              </w:rPr>
              <w:t>UC-08</w:t>
            </w:r>
          </w:p>
        </w:tc>
        <w:tc>
          <w:tcPr>
            <w:tcW w:type="dxa" w:w="2162"/>
          </w:tcPr>
          <w:p>
            <w:r/>
            <w:r>
              <w:rPr>
                <w:rFonts w:ascii="Calibri" w:hAnsi="Calibri" w:cs="Calibri" w:eastAsia="Calibri"/>
                <w:b w:val="0"/>
                <w:i w:val="0"/>
                <w:sz w:val="16"/>
                <w:szCs w:val="16"/>
              </w:rPr>
              <w:t>2 years</w:t>
            </w:r>
          </w:p>
        </w:tc>
        <w:tc>
          <w:tcPr>
            <w:tcW w:type="dxa" w:w="2162"/>
          </w:tcPr>
          <w:p>
            <w:r/>
            <w:r>
              <w:rPr>
                <w:rFonts w:ascii="Calibri" w:hAnsi="Calibri" w:cs="Calibri" w:eastAsia="Calibri"/>
                <w:b w:val="0"/>
                <w:i w:val="0"/>
                <w:sz w:val="16"/>
                <w:szCs w:val="16"/>
              </w:rPr>
              <w:t>Export to SIEM in Q4 2026</w:t>
            </w:r>
          </w:p>
        </w:tc>
      </w:tr>
      <w:tr>
        <w:tc>
          <w:tcPr>
            <w:tcW w:type="dxa" w:w="2162"/>
          </w:tcPr>
          <w:p>
            <w:r/>
            <w:r>
              <w:rPr>
                <w:rFonts w:ascii="Calibri" w:hAnsi="Calibri" w:cs="Calibri" w:eastAsia="Calibri"/>
                <w:b w:val="0"/>
                <w:i w:val="0"/>
                <w:sz w:val="16"/>
                <w:szCs w:val="16"/>
              </w:rPr>
              <w:t>Backup platform</w:t>
            </w:r>
          </w:p>
        </w:tc>
        <w:tc>
          <w:tcPr>
            <w:tcW w:type="dxa" w:w="2162"/>
          </w:tcPr>
          <w:p>
            <w:r/>
            <w:r>
              <w:rPr>
                <w:rFonts w:ascii="Calibri" w:hAnsi="Calibri" w:cs="Calibri" w:eastAsia="Calibri"/>
                <w:b w:val="0"/>
                <w:i w:val="0"/>
                <w:sz w:val="16"/>
                <w:szCs w:val="16"/>
              </w:rPr>
              <w:t>Critical</w:t>
            </w:r>
          </w:p>
        </w:tc>
        <w:tc>
          <w:tcPr>
            <w:tcW w:type="dxa" w:w="2162"/>
          </w:tcPr>
          <w:p>
            <w:r/>
            <w:r>
              <w:rPr>
                <w:rFonts w:ascii="Calibri" w:hAnsi="Calibri" w:cs="Calibri" w:eastAsia="Calibri"/>
                <w:b w:val="0"/>
                <w:i w:val="0"/>
                <w:sz w:val="16"/>
                <w:szCs w:val="16"/>
              </w:rPr>
              <w:t>Job changes, deletions, admin logins</w:t>
            </w:r>
          </w:p>
        </w:tc>
        <w:tc>
          <w:tcPr>
            <w:tcW w:type="dxa" w:w="2162"/>
          </w:tcPr>
          <w:p>
            <w:r/>
            <w:r>
              <w:rPr>
                <w:rFonts w:ascii="Calibri" w:hAnsi="Calibri" w:cs="Calibri" w:eastAsia="Calibri"/>
                <w:b w:val="0"/>
                <w:i w:val="0"/>
                <w:sz w:val="16"/>
                <w:szCs w:val="16"/>
              </w:rPr>
              <w:t>Yes</w:t>
            </w:r>
          </w:p>
        </w:tc>
        <w:tc>
          <w:tcPr>
            <w:tcW w:type="dxa" w:w="2162"/>
          </w:tcPr>
          <w:p>
            <w:r/>
            <w:r>
              <w:rPr>
                <w:rFonts w:ascii="Calibri" w:hAnsi="Calibri" w:cs="Calibri" w:eastAsia="Calibri"/>
                <w:b w:val="0"/>
                <w:i w:val="0"/>
                <w:sz w:val="16"/>
                <w:szCs w:val="16"/>
              </w:rPr>
              <w:t>UC-07</w:t>
            </w:r>
          </w:p>
        </w:tc>
        <w:tc>
          <w:tcPr>
            <w:tcW w:type="dxa" w:w="2162"/>
          </w:tcPr>
          <w:p>
            <w:r/>
            <w:r>
              <w:rPr>
                <w:rFonts w:ascii="Calibri" w:hAnsi="Calibri" w:cs="Calibri" w:eastAsia="Calibri"/>
                <w:b w:val="0"/>
                <w:i w:val="0"/>
                <w:sz w:val="16"/>
                <w:szCs w:val="16"/>
              </w:rPr>
              <w:t>1 year</w:t>
            </w:r>
          </w:p>
        </w:tc>
        <w:tc>
          <w:tcPr>
            <w:tcW w:type="dxa" w:w="2162"/>
          </w:tcPr>
          <w:p>
            <w:r/>
            <w:r>
              <w:rPr>
                <w:rFonts w:ascii="Calibri" w:hAnsi="Calibri" w:cs="Calibri" w:eastAsia="Calibri"/>
                <w:b w:val="0"/>
                <w:i w:val="0"/>
                <w:sz w:val="16"/>
                <w:szCs w:val="16"/>
              </w:rPr>
              <w:t>None</w:t>
            </w:r>
          </w:p>
        </w:tc>
      </w:tr>
      <w:tr>
        <w:tc>
          <w:tcPr>
            <w:tcW w:type="dxa" w:w="2162"/>
          </w:tcPr>
          <w:p>
            <w:r/>
            <w:r>
              <w:rPr>
                <w:rFonts w:ascii="Calibri" w:hAnsi="Calibri" w:cs="Calibri" w:eastAsia="Calibri"/>
                <w:b w:val="0"/>
                <w:i w:val="0"/>
                <w:sz w:val="16"/>
                <w:szCs w:val="16"/>
              </w:rPr>
              <w:t>Medical device VLAN (network detection)</w:t>
            </w:r>
          </w:p>
        </w:tc>
        <w:tc>
          <w:tcPr>
            <w:tcW w:type="dxa" w:w="2162"/>
          </w:tcPr>
          <w:p>
            <w:r/>
            <w:r>
              <w:rPr>
                <w:rFonts w:ascii="Calibri" w:hAnsi="Calibri" w:cs="Calibri" w:eastAsia="Calibri"/>
                <w:b w:val="0"/>
                <w:i w:val="0"/>
                <w:sz w:val="16"/>
                <w:szCs w:val="16"/>
              </w:rPr>
              <w:t>High</w:t>
            </w:r>
          </w:p>
        </w:tc>
        <w:tc>
          <w:tcPr>
            <w:tcW w:type="dxa" w:w="2162"/>
          </w:tcPr>
          <w:p>
            <w:r/>
            <w:r>
              <w:rPr>
                <w:rFonts w:ascii="Calibri" w:hAnsi="Calibri" w:cs="Calibri" w:eastAsia="Calibri"/>
                <w:b w:val="0"/>
                <w:i w:val="0"/>
                <w:sz w:val="16"/>
                <w:szCs w:val="16"/>
              </w:rPr>
              <w:t>Network anomalies</w:t>
            </w:r>
          </w:p>
        </w:tc>
        <w:tc>
          <w:tcPr>
            <w:tcW w:type="dxa" w:w="2162"/>
          </w:tcPr>
          <w:p>
            <w:r/>
            <w:r>
              <w:rPr>
                <w:rFonts w:ascii="Calibri" w:hAnsi="Calibri" w:cs="Calibri" w:eastAsia="Calibri"/>
                <w:b w:val="0"/>
                <w:i w:val="0"/>
                <w:sz w:val="16"/>
                <w:szCs w:val="16"/>
              </w:rPr>
              <w:t>Partial</w:t>
            </w:r>
          </w:p>
        </w:tc>
        <w:tc>
          <w:tcPr>
            <w:tcW w:type="dxa" w:w="2162"/>
          </w:tcPr>
          <w:p>
            <w:r/>
            <w:r>
              <w:rPr>
                <w:rFonts w:ascii="Calibri" w:hAnsi="Calibri" w:cs="Calibri" w:eastAsia="Calibri"/>
                <w:b w:val="0"/>
                <w:i w:val="0"/>
                <w:sz w:val="16"/>
                <w:szCs w:val="16"/>
              </w:rPr>
              <w:t>UC-09</w:t>
            </w:r>
          </w:p>
        </w:tc>
        <w:tc>
          <w:tcPr>
            <w:tcW w:type="dxa" w:w="2162"/>
          </w:tcPr>
          <w:p>
            <w:r/>
            <w:r>
              <w:rPr>
                <w:rFonts w:ascii="Calibri" w:hAnsi="Calibri" w:cs="Calibri" w:eastAsia="Calibri"/>
                <w:b w:val="0"/>
                <w:i w:val="0"/>
                <w:sz w:val="16"/>
                <w:szCs w:val="16"/>
              </w:rPr>
              <w:t>90 days</w:t>
            </w:r>
          </w:p>
        </w:tc>
        <w:tc>
          <w:tcPr>
            <w:tcW w:type="dxa" w:w="2162"/>
          </w:tcPr>
          <w:p>
            <w:r/>
            <w:r>
              <w:rPr>
                <w:rFonts w:ascii="Calibri" w:hAnsi="Calibri" w:cs="Calibri" w:eastAsia="Calibri"/>
                <w:b w:val="0"/>
                <w:i w:val="0"/>
                <w:sz w:val="16"/>
                <w:szCs w:val="16"/>
              </w:rPr>
              <w:t>Phase 2 wards in 2027</w:t>
            </w:r>
          </w:p>
        </w:tc>
      </w:tr>
      <w:tr>
        <w:tc>
          <w:tcPr>
            <w:tcW w:type="dxa" w:w="2162"/>
          </w:tcPr>
          <w:p>
            <w:r/>
            <w:r>
              <w:rPr>
                <w:rFonts w:ascii="Calibri" w:hAnsi="Calibri" w:cs="Calibri" w:eastAsia="Calibri"/>
                <w:b w:val="0"/>
                <w:i w:val="0"/>
                <w:sz w:val="16"/>
                <w:szCs w:val="16"/>
              </w:rPr>
              <w:t>PACS</w:t>
            </w:r>
          </w:p>
        </w:tc>
        <w:tc>
          <w:tcPr>
            <w:tcW w:type="dxa" w:w="2162"/>
          </w:tcPr>
          <w:p>
            <w:r/>
            <w:r>
              <w:rPr>
                <w:rFonts w:ascii="Calibri" w:hAnsi="Calibri" w:cs="Calibri" w:eastAsia="Calibri"/>
                <w:b w:val="0"/>
                <w:i w:val="0"/>
                <w:sz w:val="16"/>
                <w:szCs w:val="16"/>
              </w:rPr>
              <w:t>Critical</w:t>
            </w:r>
          </w:p>
        </w:tc>
        <w:tc>
          <w:tcPr>
            <w:tcW w:type="dxa" w:w="2162"/>
          </w:tcPr>
          <w:p>
            <w:r/>
            <w:r>
              <w:rPr>
                <w:rFonts w:ascii="Calibri" w:hAnsi="Calibri" w:cs="Calibri" w:eastAsia="Calibri"/>
                <w:b w:val="0"/>
                <w:i w:val="0"/>
                <w:sz w:val="16"/>
                <w:szCs w:val="16"/>
              </w:rPr>
              <w:t>Logins, admin actions</w:t>
            </w:r>
          </w:p>
        </w:tc>
        <w:tc>
          <w:tcPr>
            <w:tcW w:type="dxa" w:w="2162"/>
          </w:tcPr>
          <w:p>
            <w:r/>
            <w:r>
              <w:rPr>
                <w:rFonts w:ascii="Calibri" w:hAnsi="Calibri" w:cs="Calibri" w:eastAsia="Calibri"/>
                <w:b w:val="0"/>
                <w:i w:val="0"/>
                <w:sz w:val="16"/>
                <w:szCs w:val="16"/>
              </w:rPr>
              <w:t>No</w:t>
            </w:r>
          </w:p>
        </w:tc>
        <w:tc>
          <w:tcPr>
            <w:tcW w:type="dxa" w:w="2162"/>
          </w:tcPr>
          <w:p>
            <w:r/>
            <w:r>
              <w:rPr>
                <w:rFonts w:ascii="Calibri" w:hAnsi="Calibri" w:cs="Calibri" w:eastAsia="Calibri"/>
                <w:b w:val="0"/>
                <w:i w:val="0"/>
                <w:sz w:val="16"/>
                <w:szCs w:val="16"/>
              </w:rPr>
              <w:t>None</w:t>
            </w:r>
          </w:p>
        </w:tc>
        <w:tc>
          <w:tcPr>
            <w:tcW w:type="dxa" w:w="2162"/>
          </w:tcPr>
          <w:p>
            <w:r/>
            <w:r>
              <w:rPr>
                <w:rFonts w:ascii="Calibri" w:hAnsi="Calibri" w:cs="Calibri" w:eastAsia="Calibri"/>
                <w:b w:val="0"/>
                <w:i w:val="0"/>
                <w:sz w:val="16"/>
                <w:szCs w:val="16"/>
              </w:rPr>
              <w:t>Not applicable</w:t>
            </w:r>
          </w:p>
        </w:tc>
        <w:tc>
          <w:tcPr>
            <w:tcW w:type="dxa" w:w="2162"/>
          </w:tcPr>
          <w:p>
            <w:r/>
            <w:r>
              <w:rPr>
                <w:rFonts w:ascii="Calibri" w:hAnsi="Calibri" w:cs="Calibri" w:eastAsia="Calibri"/>
                <w:b w:val="0"/>
                <w:i w:val="0"/>
                <w:sz w:val="16"/>
                <w:szCs w:val="16"/>
              </w:rPr>
              <w:t>Vendor log export under discussion</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SOC Lead (MSSP service manager with Security Manager oversight)</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SOC Lead (MSSP service manager with Security Manager oversight)</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SOC Lead (MSSP service manager with Security Manager oversight)</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Review coverage quarterly against the asset inventory and new systems.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Assuming a source is monitored because it was onboarded once; sources stop sending silently.</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DE.CM-01: Networks and network services are monitored to find potentially adverse events</w:t>
            </w:r>
          </w:p>
          <w:p>
            <w:r>
              <w:rPr>
                <w:rFonts w:ascii="Calibri" w:hAnsi="Calibri" w:cs="Calibri" w:eastAsia="Calibri"/>
                <w:b w:val="0"/>
                <w:i w:val="0"/>
                <w:sz w:val="18"/>
                <w:szCs w:val="18"/>
              </w:rPr>
              <w:t>DE.CM-09: Computing hardware and software, runtime environments, and their data are monitored to find potentially adverse events</w:t>
            </w:r>
          </w:p>
          <w:p>
            <w:r>
              <w:rPr>
                <w:rFonts w:ascii="Calibri" w:hAnsi="Calibri" w:cs="Calibri" w:eastAsia="Calibri"/>
                <w:b w:val="0"/>
                <w:i w:val="0"/>
                <w:sz w:val="18"/>
                <w:szCs w:val="18"/>
              </w:rPr>
              <w:t>PR.PS-04: Log records are generated and made available for continuous monitoring</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A.8.15, Annex A.8.16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AU-2, SI-4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8.15 and 8.16</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DE-STD-001: Security Monitoring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DE-REG-001  |  Log Source and Monitoring Coverage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