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Security Monitoring Standard</w:t>
      </w:r>
    </w:p>
    <w:p>
      <w:pPr>
        <w:spacing w:after="80" w:before="0"/>
      </w:pPr>
      <w:r>
        <w:rPr>
          <w:rFonts w:ascii="Calibri" w:hAnsi="Calibri" w:cs="Calibri" w:eastAsia="Calibri"/>
          <w:b w:val="0"/>
          <w:i w:val="0"/>
          <w:color w:val="595959"/>
          <w:sz w:val="18"/>
          <w:szCs w:val="18"/>
        </w:rPr>
        <w:t>DE-STD-001  |  Standard  |  Continuous Monitoring (DE.CM)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DE-STD-001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Security Monitoring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Continuous Monitoring (DE.CM)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s.56 (monitoring mechanism); ISO/IEC 27001:2022 Annex A 8.16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(high priority for CII)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July 2026</w:t>
            </w:r>
          </w:p>
        </w:tc>
        <w:tc>
          <w:tcPr>
            <w:tcW w:type="dxa" w:w="3742"/>
          </w:tcPr>
          <w:p>
            <w:r/>
            <w:r>
              <w:rPr>
                <w:rFonts w:ascii="Calibri" w:hAnsi="Calibri" w:cs="Calibri" w:eastAsia="Calibri"/>
                <w:b w:val="0"/>
                <w:i w:val="0"/>
                <w:sz w:val="18"/>
                <w:szCs w:val="18"/>
              </w:rPr>
              <w:t>Updated in March 2026 when the MSSP began 24x7 monitoring; service levels aligned with the MSSP contract.</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what must be monitored, by whom, how quickly alerts must be handled, and how monitoring coverage is measured, so that adverse events are detected in time (DE.CM; CSA s.56 for CII).</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Monitoring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what is monitored, mapped to CSF subcategories.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835"/>
        <w:gridCol w:w="5103"/>
        <w:gridCol w:w="1417"/>
      </w:tblGrid>
      <w:tr>
        <w:trPr>
          <w:tblHeader w:val="true"/>
        </w:trPr>
        <w:tc>
          <w:tcPr>
            <w:tcW w:type="dxa" w:w="2835"/>
            <w:shd w:val="clear" w:color="auto" w:fill="1F3864"/>
          </w:tcPr>
          <w:p>
            <w:r/>
            <w:r>
              <w:rPr>
                <w:rFonts w:ascii="Calibri" w:hAnsi="Calibri" w:cs="Calibri" w:eastAsia="Calibri"/>
                <w:b/>
                <w:i w:val="0"/>
                <w:color w:val="FFFFFF"/>
                <w:sz w:val="18"/>
                <w:szCs w:val="18"/>
                <w:bCs/>
              </w:rPr>
              <w:t>Area</w:t>
            </w:r>
          </w:p>
        </w:tc>
        <w:tc>
          <w:tcPr>
            <w:tcW w:type="dxa" w:w="5102"/>
            <w:shd w:val="clear" w:color="auto" w:fill="1F3864"/>
          </w:tcPr>
          <w:p>
            <w:r/>
            <w:r>
              <w:rPr>
                <w:rFonts w:ascii="Calibri" w:hAnsi="Calibri" w:cs="Calibri" w:eastAsia="Calibri"/>
                <w:b/>
                <w:i w:val="0"/>
                <w:color w:val="FFFFFF"/>
                <w:sz w:val="18"/>
                <w:szCs w:val="18"/>
                <w:bCs/>
              </w:rPr>
              <w:t>Sources</w:t>
            </w:r>
          </w:p>
        </w:tc>
        <w:tc>
          <w:tcPr>
            <w:tcW w:type="dxa" w:w="1417"/>
            <w:shd w:val="clear" w:color="auto" w:fill="1F3864"/>
          </w:tcPr>
          <w:p>
            <w:r/>
            <w:r>
              <w:rPr>
                <w:rFonts w:ascii="Calibri" w:hAnsi="Calibri" w:cs="Calibri" w:eastAsia="Calibri"/>
                <w:b/>
                <w:i w:val="0"/>
                <w:color w:val="FFFFFF"/>
                <w:sz w:val="18"/>
                <w:szCs w:val="18"/>
                <w:bCs/>
              </w:rPr>
              <w:t>CSF</w:t>
            </w:r>
          </w:p>
        </w:tc>
      </w:tr>
      <w:tr>
        <w:tc>
          <w:tcPr>
            <w:tcW w:type="dxa" w:w="2835"/>
          </w:tcPr>
          <w:p>
            <w:r/>
            <w:r>
              <w:rPr>
                <w:rFonts w:ascii="Calibri" w:hAnsi="Calibri" w:cs="Calibri" w:eastAsia="Calibri"/>
                <w:b w:val="0"/>
                <w:i w:val="0"/>
                <w:sz w:val="18"/>
                <w:szCs w:val="18"/>
              </w:rPr>
              <w:t>Networks and network services</w:t>
            </w:r>
          </w:p>
        </w:tc>
        <w:tc>
          <w:tcPr>
            <w:tcW w:type="dxa" w:w="5102"/>
          </w:tcPr>
          <w:p>
            <w:r/>
            <w:r>
              <w:rPr>
                <w:rFonts w:ascii="Calibri" w:hAnsi="Calibri" w:cs="Calibri" w:eastAsia="Calibri"/>
                <w:b w:val="0"/>
                <w:i w:val="0"/>
                <w:sz w:val="18"/>
                <w:szCs w:val="18"/>
              </w:rPr>
              <w:t>Firewalls, IPS, DNS, proxy, VPN, network detection</w:t>
            </w:r>
          </w:p>
        </w:tc>
        <w:tc>
          <w:tcPr>
            <w:tcW w:type="dxa" w:w="1417"/>
          </w:tcPr>
          <w:p>
            <w:r/>
            <w:r>
              <w:rPr>
                <w:rFonts w:ascii="Calibri" w:hAnsi="Calibri" w:cs="Calibri" w:eastAsia="Calibri"/>
                <w:b w:val="0"/>
                <w:i w:val="0"/>
                <w:sz w:val="18"/>
                <w:szCs w:val="18"/>
              </w:rPr>
              <w:t>DE.CM-01</w:t>
            </w:r>
          </w:p>
        </w:tc>
      </w:tr>
      <w:tr>
        <w:tc>
          <w:tcPr>
            <w:tcW w:type="dxa" w:w="2835"/>
          </w:tcPr>
          <w:p>
            <w:r/>
            <w:r>
              <w:rPr>
                <w:rFonts w:ascii="Calibri" w:hAnsi="Calibri" w:cs="Calibri" w:eastAsia="Calibri"/>
                <w:b w:val="0"/>
                <w:i w:val="0"/>
                <w:sz w:val="18"/>
                <w:szCs w:val="18"/>
              </w:rPr>
              <w:t>Physical environment</w:t>
            </w:r>
          </w:p>
        </w:tc>
        <w:tc>
          <w:tcPr>
            <w:tcW w:type="dxa" w:w="5102"/>
          </w:tcPr>
          <w:p>
            <w:r/>
            <w:r>
              <w:rPr>
                <w:rFonts w:ascii="Calibri" w:hAnsi="Calibri" w:cs="Calibri" w:eastAsia="Calibri"/>
                <w:b w:val="0"/>
                <w:i w:val="0"/>
                <w:sz w:val="18"/>
                <w:szCs w:val="18"/>
              </w:rPr>
              <w:t>Badge systems, CCTV alerts, environmental sensors for data centers</w:t>
            </w:r>
          </w:p>
        </w:tc>
        <w:tc>
          <w:tcPr>
            <w:tcW w:type="dxa" w:w="1417"/>
          </w:tcPr>
          <w:p>
            <w:r/>
            <w:r>
              <w:rPr>
                <w:rFonts w:ascii="Calibri" w:hAnsi="Calibri" w:cs="Calibri" w:eastAsia="Calibri"/>
                <w:b w:val="0"/>
                <w:i w:val="0"/>
                <w:sz w:val="18"/>
                <w:szCs w:val="18"/>
              </w:rPr>
              <w:t>DE.CM-02</w:t>
            </w:r>
          </w:p>
        </w:tc>
      </w:tr>
      <w:tr>
        <w:tc>
          <w:tcPr>
            <w:tcW w:type="dxa" w:w="2835"/>
          </w:tcPr>
          <w:p>
            <w:r/>
            <w:r>
              <w:rPr>
                <w:rFonts w:ascii="Calibri" w:hAnsi="Calibri" w:cs="Calibri" w:eastAsia="Calibri"/>
                <w:b w:val="0"/>
                <w:i w:val="0"/>
                <w:sz w:val="18"/>
                <w:szCs w:val="18"/>
              </w:rPr>
              <w:t>Personnel activity and technology use</w:t>
            </w:r>
          </w:p>
        </w:tc>
        <w:tc>
          <w:tcPr>
            <w:tcW w:type="dxa" w:w="5102"/>
          </w:tcPr>
          <w:p>
            <w:r/>
            <w:r>
              <w:rPr>
                <w:rFonts w:ascii="Calibri" w:hAnsi="Calibri" w:cs="Calibri" w:eastAsia="Calibri"/>
                <w:b w:val="0"/>
                <w:i w:val="0"/>
                <w:sz w:val="18"/>
                <w:szCs w:val="18"/>
              </w:rPr>
              <w:t>Identity logs, privileged sessions, DLP, application audit logs</w:t>
            </w:r>
          </w:p>
        </w:tc>
        <w:tc>
          <w:tcPr>
            <w:tcW w:type="dxa" w:w="1417"/>
          </w:tcPr>
          <w:p>
            <w:r/>
            <w:r>
              <w:rPr>
                <w:rFonts w:ascii="Calibri" w:hAnsi="Calibri" w:cs="Calibri" w:eastAsia="Calibri"/>
                <w:b w:val="0"/>
                <w:i w:val="0"/>
                <w:sz w:val="18"/>
                <w:szCs w:val="18"/>
              </w:rPr>
              <w:t>DE.CM-03</w:t>
            </w:r>
          </w:p>
        </w:tc>
      </w:tr>
      <w:tr>
        <w:tc>
          <w:tcPr>
            <w:tcW w:type="dxa" w:w="2835"/>
          </w:tcPr>
          <w:p>
            <w:r/>
            <w:r>
              <w:rPr>
                <w:rFonts w:ascii="Calibri" w:hAnsi="Calibri" w:cs="Calibri" w:eastAsia="Calibri"/>
                <w:b w:val="0"/>
                <w:i w:val="0"/>
                <w:sz w:val="18"/>
                <w:szCs w:val="18"/>
              </w:rPr>
              <w:t>External service provider activity</w:t>
            </w:r>
          </w:p>
        </w:tc>
        <w:tc>
          <w:tcPr>
            <w:tcW w:type="dxa" w:w="5102"/>
          </w:tcPr>
          <w:p>
            <w:r/>
            <w:r>
              <w:rPr>
                <w:rFonts w:ascii="Calibri" w:hAnsi="Calibri" w:cs="Calibri" w:eastAsia="Calibri"/>
                <w:b w:val="0"/>
                <w:i w:val="0"/>
                <w:sz w:val="18"/>
                <w:szCs w:val="18"/>
              </w:rPr>
              <w:t>Vendor remote sessions, SaaS admin logs, MSSP actions</w:t>
            </w:r>
          </w:p>
        </w:tc>
        <w:tc>
          <w:tcPr>
            <w:tcW w:type="dxa" w:w="1417"/>
          </w:tcPr>
          <w:p>
            <w:r/>
            <w:r>
              <w:rPr>
                <w:rFonts w:ascii="Calibri" w:hAnsi="Calibri" w:cs="Calibri" w:eastAsia="Calibri"/>
                <w:b w:val="0"/>
                <w:i w:val="0"/>
                <w:sz w:val="18"/>
                <w:szCs w:val="18"/>
              </w:rPr>
              <w:t>DE.CM-06</w:t>
            </w:r>
          </w:p>
        </w:tc>
      </w:tr>
      <w:tr>
        <w:tc>
          <w:tcPr>
            <w:tcW w:type="dxa" w:w="2835"/>
          </w:tcPr>
          <w:p>
            <w:r/>
            <w:r>
              <w:rPr>
                <w:rFonts w:ascii="Calibri" w:hAnsi="Calibri" w:cs="Calibri" w:eastAsia="Calibri"/>
                <w:b w:val="0"/>
                <w:i w:val="0"/>
                <w:sz w:val="18"/>
                <w:szCs w:val="18"/>
              </w:rPr>
              <w:t>Computing hardware, software, and data</w:t>
            </w:r>
          </w:p>
        </w:tc>
        <w:tc>
          <w:tcPr>
            <w:tcW w:type="dxa" w:w="5102"/>
          </w:tcPr>
          <w:p>
            <w:r/>
            <w:r>
              <w:rPr>
                <w:rFonts w:ascii="Calibri" w:hAnsi="Calibri" w:cs="Calibri" w:eastAsia="Calibri"/>
                <w:b w:val="0"/>
                <w:i w:val="0"/>
                <w:sz w:val="18"/>
                <w:szCs w:val="18"/>
              </w:rPr>
              <w:t>EDR, server logs, cloud workloads, file integrity, backup alerts</w:t>
            </w:r>
          </w:p>
        </w:tc>
        <w:tc>
          <w:tcPr>
            <w:tcW w:type="dxa" w:w="1417"/>
          </w:tcPr>
          <w:p>
            <w:r/>
            <w:r>
              <w:rPr>
                <w:rFonts w:ascii="Calibri" w:hAnsi="Calibri" w:cs="Calibri" w:eastAsia="Calibri"/>
                <w:b w:val="0"/>
                <w:i w:val="0"/>
                <w:sz w:val="18"/>
                <w:szCs w:val="18"/>
              </w:rPr>
              <w:t>DE.CM-09</w:t>
            </w:r>
          </w:p>
        </w:tc>
      </w:tr>
    </w:tbl>
    <w:p>
      <w:pPr>
        <w:spacing w:after="40"/>
      </w:pPr>
    </w:p>
    <w:p>
      <w:pPr>
        <w:pStyle w:val="Heading2"/>
        <w:keepNext/>
        <w:spacing w:before="120" w:after="80"/>
      </w:pPr>
      <w:r>
        <w:rPr>
          <w:rFonts w:ascii="Calibri" w:hAnsi="Calibri" w:cs="Calibri" w:eastAsia="Calibri"/>
          <w:b/>
          <w:i w:val="0"/>
          <w:color w:val="1F3864"/>
          <w:sz w:val="24"/>
          <w:szCs w:val="24"/>
          <w:bCs/>
        </w:rPr>
        <w:t>4.4 Service Levels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triage and escalation times by alert severity.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2268"/>
        <w:gridCol w:w="2551"/>
        <w:gridCol w:w="2551"/>
      </w:tblGrid>
      <w:tr>
        <w:trPr>
          <w:tblHeader w:val="true"/>
        </w:trPr>
        <w:tc>
          <w:tcPr>
            <w:tcW w:type="dxa" w:w="1984"/>
            <w:shd w:val="clear" w:color="auto" w:fill="1F3864"/>
          </w:tcPr>
          <w:p>
            <w:r/>
            <w:r>
              <w:rPr>
                <w:rFonts w:ascii="Calibri" w:hAnsi="Calibri" w:cs="Calibri" w:eastAsia="Calibri"/>
                <w:b/>
                <w:i w:val="0"/>
                <w:color w:val="FFFFFF"/>
                <w:sz w:val="18"/>
                <w:szCs w:val="18"/>
                <w:bCs/>
              </w:rPr>
              <w:t>Alert severity</w:t>
            </w:r>
          </w:p>
        </w:tc>
        <w:tc>
          <w:tcPr>
            <w:tcW w:type="dxa" w:w="2268"/>
            <w:shd w:val="clear" w:color="auto" w:fill="1F3864"/>
          </w:tcPr>
          <w:p>
            <w:r/>
            <w:r>
              <w:rPr>
                <w:rFonts w:ascii="Calibri" w:hAnsi="Calibri" w:cs="Calibri" w:eastAsia="Calibri"/>
                <w:b/>
                <w:i w:val="0"/>
                <w:color w:val="FFFFFF"/>
                <w:sz w:val="18"/>
                <w:szCs w:val="18"/>
                <w:bCs/>
              </w:rPr>
              <w:t>Triage start</w:t>
            </w:r>
          </w:p>
        </w:tc>
        <w:tc>
          <w:tcPr>
            <w:tcW w:type="dxa" w:w="2551"/>
            <w:shd w:val="clear" w:color="auto" w:fill="1F3864"/>
          </w:tcPr>
          <w:p>
            <w:r/>
            <w:r>
              <w:rPr>
                <w:rFonts w:ascii="Calibri" w:hAnsi="Calibri" w:cs="Calibri" w:eastAsia="Calibri"/>
                <w:b/>
                <w:i w:val="0"/>
                <w:color w:val="FFFFFF"/>
                <w:sz w:val="18"/>
                <w:szCs w:val="18"/>
                <w:bCs/>
              </w:rPr>
              <w:t>Escalate to on-call</w:t>
            </w:r>
          </w:p>
        </w:tc>
        <w:tc>
          <w:tcPr>
            <w:tcW w:type="dxa" w:w="2551"/>
            <w:shd w:val="clear" w:color="auto" w:fill="1F3864"/>
          </w:tcPr>
          <w:p>
            <w:r/>
            <w:r>
              <w:rPr>
                <w:rFonts w:ascii="Calibri" w:hAnsi="Calibri" w:cs="Calibri" w:eastAsia="Calibri"/>
                <w:b/>
                <w:i w:val="0"/>
                <w:color w:val="FFFFFF"/>
                <w:sz w:val="18"/>
                <w:szCs w:val="18"/>
                <w:bCs/>
              </w:rPr>
              <w:t>Coverage</w:t>
            </w:r>
          </w:p>
        </w:tc>
      </w:tr>
      <w:tr>
        <w:tc>
          <w:tcPr>
            <w:tcW w:type="dxa" w:w="1984"/>
          </w:tcPr>
          <w:p>
            <w:r/>
            <w:r>
              <w:rPr>
                <w:rFonts w:ascii="Calibri" w:hAnsi="Calibri" w:cs="Calibri" w:eastAsia="Calibri"/>
                <w:b w:val="0"/>
                <w:i w:val="0"/>
                <w:sz w:val="18"/>
                <w:szCs w:val="18"/>
              </w:rPr>
              <w:t>Critical</w:t>
            </w:r>
          </w:p>
        </w:tc>
        <w:tc>
          <w:tcPr>
            <w:tcW w:type="dxa" w:w="2268"/>
          </w:tcPr>
          <w:p>
            <w:r/>
            <w:r>
              <w:rPr>
                <w:rFonts w:ascii="Calibri" w:hAnsi="Calibri" w:cs="Calibri" w:eastAsia="Calibri"/>
                <w:b w:val="0"/>
                <w:i w:val="0"/>
                <w:sz w:val="18"/>
                <w:szCs w:val="18"/>
              </w:rPr>
              <w:t>15 minutes</w:t>
            </w:r>
          </w:p>
        </w:tc>
        <w:tc>
          <w:tcPr>
            <w:tcW w:type="dxa" w:w="2551"/>
          </w:tcPr>
          <w:p>
            <w:r/>
            <w:r>
              <w:rPr>
                <w:rFonts w:ascii="Calibri" w:hAnsi="Calibri" w:cs="Calibri" w:eastAsia="Calibri"/>
                <w:b w:val="0"/>
                <w:i w:val="0"/>
                <w:sz w:val="18"/>
                <w:szCs w:val="18"/>
              </w:rPr>
              <w:t>30 minutes</w:t>
            </w:r>
          </w:p>
        </w:tc>
        <w:tc>
          <w:tcPr>
            <w:tcW w:type="dxa" w:w="2551"/>
          </w:tcPr>
          <w:p>
            <w:r/>
            <w:r>
              <w:rPr>
                <w:rFonts w:ascii="Calibri" w:hAnsi="Calibri" w:cs="Calibri" w:eastAsia="Calibri"/>
                <w:b w:val="0"/>
                <w:i w:val="0"/>
                <w:sz w:val="18"/>
                <w:szCs w:val="18"/>
              </w:rPr>
              <w:t>24x7</w:t>
            </w:r>
          </w:p>
        </w:tc>
      </w:tr>
      <w:tr>
        <w:tc>
          <w:tcPr>
            <w:tcW w:type="dxa" w:w="1984"/>
          </w:tcPr>
          <w:p>
            <w:r/>
            <w:r>
              <w:rPr>
                <w:rFonts w:ascii="Calibri" w:hAnsi="Calibri" w:cs="Calibri" w:eastAsia="Calibri"/>
                <w:b w:val="0"/>
                <w:i w:val="0"/>
                <w:sz w:val="18"/>
                <w:szCs w:val="18"/>
              </w:rPr>
              <w:t>High</w:t>
            </w:r>
          </w:p>
        </w:tc>
        <w:tc>
          <w:tcPr>
            <w:tcW w:type="dxa" w:w="2268"/>
          </w:tcPr>
          <w:p>
            <w:r/>
            <w:r>
              <w:rPr>
                <w:rFonts w:ascii="Calibri" w:hAnsi="Calibri" w:cs="Calibri" w:eastAsia="Calibri"/>
                <w:b w:val="0"/>
                <w:i w:val="0"/>
                <w:sz w:val="18"/>
                <w:szCs w:val="18"/>
              </w:rPr>
              <w:t>30 minutes</w:t>
            </w:r>
          </w:p>
        </w:tc>
        <w:tc>
          <w:tcPr>
            <w:tcW w:type="dxa" w:w="2551"/>
          </w:tcPr>
          <w:p>
            <w:r/>
            <w:r>
              <w:rPr>
                <w:rFonts w:ascii="Calibri" w:hAnsi="Calibri" w:cs="Calibri" w:eastAsia="Calibri"/>
                <w:b w:val="0"/>
                <w:i w:val="0"/>
                <w:sz w:val="18"/>
                <w:szCs w:val="18"/>
              </w:rPr>
              <w:t>2 hours</w:t>
            </w:r>
          </w:p>
        </w:tc>
        <w:tc>
          <w:tcPr>
            <w:tcW w:type="dxa" w:w="2551"/>
          </w:tcPr>
          <w:p>
            <w:r/>
            <w:r>
              <w:rPr>
                <w:rFonts w:ascii="Calibri" w:hAnsi="Calibri" w:cs="Calibri" w:eastAsia="Calibri"/>
                <w:b w:val="0"/>
                <w:i w:val="0"/>
                <w:sz w:val="18"/>
                <w:szCs w:val="18"/>
              </w:rPr>
              <w:t>24x7</w:t>
            </w:r>
          </w:p>
        </w:tc>
      </w:tr>
      <w:tr>
        <w:tc>
          <w:tcPr>
            <w:tcW w:type="dxa" w:w="1984"/>
          </w:tcPr>
          <w:p>
            <w:r/>
            <w:r>
              <w:rPr>
                <w:rFonts w:ascii="Calibri" w:hAnsi="Calibri" w:cs="Calibri" w:eastAsia="Calibri"/>
                <w:b w:val="0"/>
                <w:i w:val="0"/>
                <w:sz w:val="18"/>
                <w:szCs w:val="18"/>
              </w:rPr>
              <w:t>Medium</w:t>
            </w:r>
          </w:p>
        </w:tc>
        <w:tc>
          <w:tcPr>
            <w:tcW w:type="dxa" w:w="2268"/>
          </w:tcPr>
          <w:p>
            <w:r/>
            <w:r>
              <w:rPr>
                <w:rFonts w:ascii="Calibri" w:hAnsi="Calibri" w:cs="Calibri" w:eastAsia="Calibri"/>
                <w:b w:val="0"/>
                <w:i w:val="0"/>
                <w:sz w:val="18"/>
                <w:szCs w:val="18"/>
              </w:rPr>
              <w:t>4 hours</w:t>
            </w:r>
          </w:p>
        </w:tc>
        <w:tc>
          <w:tcPr>
            <w:tcW w:type="dxa" w:w="2551"/>
          </w:tcPr>
          <w:p>
            <w:r/>
            <w:r>
              <w:rPr>
                <w:rFonts w:ascii="Calibri" w:hAnsi="Calibri" w:cs="Calibri" w:eastAsia="Calibri"/>
                <w:b w:val="0"/>
                <w:i w:val="0"/>
                <w:sz w:val="18"/>
                <w:szCs w:val="18"/>
              </w:rPr>
              <w:t>Next business day</w:t>
            </w:r>
          </w:p>
        </w:tc>
        <w:tc>
          <w:tcPr>
            <w:tcW w:type="dxa" w:w="2551"/>
          </w:tcPr>
          <w:p>
            <w:r/>
            <w:r>
              <w:rPr>
                <w:rFonts w:ascii="Calibri" w:hAnsi="Calibri" w:cs="Calibri" w:eastAsia="Calibri"/>
                <w:b w:val="0"/>
                <w:i w:val="0"/>
                <w:sz w:val="18"/>
                <w:szCs w:val="18"/>
              </w:rPr>
              <w:t>Business hours or 24x7</w:t>
            </w:r>
          </w:p>
        </w:tc>
      </w:tr>
      <w:tr>
        <w:tc>
          <w:tcPr>
            <w:tcW w:type="dxa" w:w="1984"/>
          </w:tcPr>
          <w:p>
            <w:r/>
            <w:r>
              <w:rPr>
                <w:rFonts w:ascii="Calibri" w:hAnsi="Calibri" w:cs="Calibri" w:eastAsia="Calibri"/>
                <w:b w:val="0"/>
                <w:i w:val="0"/>
                <w:sz w:val="18"/>
                <w:szCs w:val="18"/>
              </w:rPr>
              <w:t>Low</w:t>
            </w:r>
          </w:p>
        </w:tc>
        <w:tc>
          <w:tcPr>
            <w:tcW w:type="dxa" w:w="2268"/>
          </w:tcPr>
          <w:p>
            <w:r/>
            <w:r>
              <w:rPr>
                <w:rFonts w:ascii="Calibri" w:hAnsi="Calibri" w:cs="Calibri" w:eastAsia="Calibri"/>
                <w:b w:val="0"/>
                <w:i w:val="0"/>
                <w:sz w:val="18"/>
                <w:szCs w:val="18"/>
              </w:rPr>
              <w:t>Next business day</w:t>
            </w:r>
          </w:p>
        </w:tc>
        <w:tc>
          <w:tcPr>
            <w:tcW w:type="dxa" w:w="2551"/>
          </w:tcPr>
          <w:p>
            <w:r/>
            <w:r>
              <w:rPr>
                <w:rFonts w:ascii="Calibri" w:hAnsi="Calibri" w:cs="Calibri" w:eastAsia="Calibri"/>
                <w:b w:val="0"/>
                <w:i w:val="0"/>
                <w:sz w:val="18"/>
                <w:szCs w:val="18"/>
              </w:rPr>
              <w:t>Weekly review</w:t>
            </w:r>
          </w:p>
        </w:tc>
        <w:tc>
          <w:tcPr>
            <w:tcW w:type="dxa" w:w="2551"/>
          </w:tcPr>
          <w:p>
            <w:r/>
            <w:r>
              <w:rPr>
                <w:rFonts w:ascii="Calibri" w:hAnsi="Calibri" w:cs="Calibri" w:eastAsia="Calibri"/>
                <w:b w:val="0"/>
                <w:i w:val="0"/>
                <w:sz w:val="18"/>
                <w:szCs w:val="18"/>
              </w:rPr>
              <w:t>Business hours</w:t>
            </w:r>
          </w:p>
        </w:tc>
      </w:tr>
    </w:tbl>
    <w:p>
      <w:pPr>
        <w:spacing w:after="40"/>
      </w:pPr>
    </w:p>
    <w:p>
      <w:pPr>
        <w:pStyle w:val="Heading2"/>
        <w:keepNext/>
        <w:spacing w:before="120" w:after="80"/>
      </w:pPr>
      <w:r>
        <w:rPr>
          <w:rFonts w:ascii="Calibri" w:hAnsi="Calibri" w:cs="Calibri" w:eastAsia="Calibri"/>
          <w:b/>
          <w:i w:val="0"/>
          <w:color w:val="1F3864"/>
          <w:sz w:val="24"/>
          <w:szCs w:val="24"/>
          <w:bCs/>
        </w:rPr>
        <w:t>4.5 Coverage Measurement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monitoring coverage and quality are measured.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Maintain the Log Source and Monitoring Coverage Register (DE-REG-001) and the Detection Use Case Catalog (DE-REG-002).</w:t>
      </w:r>
    </w:p>
    <w:p>
      <w:pPr>
        <w:pStyle w:val="ListBullet"/>
        <w:spacing w:after="40"/>
      </w:pPr>
      <w:r>
        <w:rPr>
          <w:rFonts w:ascii="Calibri" w:hAnsi="Calibri" w:cs="Calibri" w:eastAsia="Calibri"/>
          <w:b w:val="0"/>
          <w:i w:val="0"/>
          <w:sz w:val="21"/>
          <w:szCs w:val="21"/>
        </w:rPr>
        <w:t>Report critical log source coverage monthly (target 95%).</w:t>
      </w:r>
    </w:p>
    <w:p>
      <w:pPr>
        <w:pStyle w:val="ListBullet"/>
        <w:spacing w:after="40"/>
      </w:pPr>
      <w:r>
        <w:rPr>
          <w:rFonts w:ascii="Calibri" w:hAnsi="Calibri" w:cs="Calibri" w:eastAsia="Calibri"/>
          <w:b w:val="0"/>
          <w:i w:val="0"/>
          <w:sz w:val="21"/>
          <w:szCs w:val="21"/>
        </w:rPr>
        <w:t>Test detections at least twice a year using simulated attack techniques mapped to MITRE ATT&amp;CK.</w:t>
      </w:r>
    </w:p>
    <w:p>
      <w:pPr>
        <w:pStyle w:val="Heading2"/>
        <w:keepNext/>
        <w:spacing w:before="120" w:after="80"/>
      </w:pPr>
      <w:r>
        <w:rPr>
          <w:rFonts w:ascii="Calibri" w:hAnsi="Calibri" w:cs="Calibri" w:eastAsia="Calibri"/>
          <w:b/>
          <w:i w:val="0"/>
          <w:color w:val="1F3864"/>
          <w:sz w:val="24"/>
          <w:szCs w:val="24"/>
          <w:bCs/>
        </w:rPr>
        <w:t>4.6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Decide in-house versus managed SOC based on 24x7 cost; most mid-sized organizations use an MSSP with in-house oversight.</w:t>
      </w:r>
    </w:p>
    <w:p>
      <w:pPr>
        <w:pStyle w:val="ListBullet"/>
        <w:spacing w:after="40"/>
      </w:pPr>
      <w:r>
        <w:rPr>
          <w:rFonts w:ascii="Calibri" w:hAnsi="Calibri" w:cs="Calibri" w:eastAsia="Calibri"/>
          <w:b w:val="0"/>
          <w:i w:val="0"/>
          <w:sz w:val="21"/>
          <w:szCs w:val="21"/>
        </w:rPr>
        <w:t>Focus first on detections for ransomware precursors: credential abuse, lateral movement, backup tampering.</w:t>
      </w:r>
    </w:p>
    <w:p>
      <w:pPr>
        <w:pStyle w:val="ListBullet"/>
        <w:spacing w:after="40"/>
      </w:pPr>
      <w:r>
        <w:rPr>
          <w:rFonts w:ascii="Calibri" w:hAnsi="Calibri" w:cs="Calibri" w:eastAsia="Calibri"/>
          <w:b w:val="0"/>
          <w:i w:val="0"/>
          <w:sz w:val="21"/>
          <w:szCs w:val="21"/>
        </w:rPr>
        <w:t>Measure mean time to detect and mean time to respond.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Buying a SIEM and sending all logs without defined use cases, producing noise and high cost.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DE.CM-01: Networks and network services are monitored to find potentially adverse events</w:t>
            </w:r>
          </w:p>
          <w:p>
            <w:r>
              <w:rPr>
                <w:rFonts w:ascii="Calibri" w:hAnsi="Calibri" w:cs="Calibri" w:eastAsia="Calibri"/>
                <w:b w:val="0"/>
                <w:i w:val="0"/>
                <w:sz w:val="18"/>
                <w:szCs w:val="18"/>
              </w:rPr>
              <w:t>DE.CM-02: The physical environment is monitored to find potentially adverse events</w:t>
            </w:r>
          </w:p>
          <w:p>
            <w:r>
              <w:rPr>
                <w:rFonts w:ascii="Calibri" w:hAnsi="Calibri" w:cs="Calibri" w:eastAsia="Calibri"/>
                <w:b w:val="0"/>
                <w:i w:val="0"/>
                <w:sz w:val="18"/>
                <w:szCs w:val="18"/>
              </w:rPr>
              <w:t>DE.CM-03: Personnel activity and technology usage are monitored to find potentially adverse events</w:t>
            </w:r>
          </w:p>
          <w:p>
            <w:r>
              <w:rPr>
                <w:rFonts w:ascii="Calibri" w:hAnsi="Calibri" w:cs="Calibri" w:eastAsia="Calibri"/>
                <w:b w:val="0"/>
                <w:i w:val="0"/>
                <w:sz w:val="18"/>
                <w:szCs w:val="18"/>
              </w:rPr>
              <w:t>DE.CM-06: External service provider activities and services are monitored to find potentially adverse events</w:t>
            </w:r>
          </w:p>
          <w:p>
            <w:r>
              <w:rPr>
                <w:rFonts w:ascii="Calibri" w:hAnsi="Calibri" w:cs="Calibri" w:eastAsia="Calibri"/>
                <w:b w:val="0"/>
                <w:i w:val="0"/>
                <w:sz w:val="18"/>
                <w:szCs w:val="18"/>
              </w:rPr>
              <w:t>DE.CM-09: Computing hardware and software, runtime environments, and their data are monitored to find potentially adverse events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SI-4, AU-6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s.56 (monitoring mechanism); ISO/IEC 27001:2022 Annex A 8.16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DE-PRC-001: Security Monitoring Operations Procedure</w:t>
            </w:r>
          </w:p>
          <w:p>
            <w:r>
              <w:rPr>
                <w:rFonts w:ascii="Calibri" w:hAnsi="Calibri" w:cs="Calibri" w:eastAsia="Calibri"/>
                <w:b w:val="0"/>
                <w:i w:val="0"/>
                <w:sz w:val="18"/>
                <w:szCs w:val="18"/>
              </w:rPr>
              <w:t>DE-REG-001: Log Source and Monitoring Coverage Register</w:t>
            </w:r>
          </w:p>
          <w:p>
            <w:r>
              <w:rPr>
                <w:rFonts w:ascii="Calibri" w:hAnsi="Calibri" w:cs="Calibri" w:eastAsia="Calibri"/>
                <w:b w:val="0"/>
                <w:i w:val="0"/>
                <w:sz w:val="18"/>
                <w:szCs w:val="18"/>
              </w:rPr>
              <w:t>DE-GDL-001: Managed Security Service Provider (MSSP) Requirements Guideline</w:t>
            </w:r>
          </w:p>
          <w:p>
            <w:r>
              <w:rPr>
                <w:rFonts w:ascii="Calibri" w:hAnsi="Calibri" w:cs="Calibri" w:eastAsia="Calibri"/>
                <w:b w:val="0"/>
                <w:i w:val="0"/>
                <w:sz w:val="18"/>
                <w:szCs w:val="18"/>
              </w:rPr>
              <w:t>DE-PRC-002: Security Event Triage and Analysis Procedure</w:t>
            </w:r>
          </w:p>
          <w:p>
            <w:r>
              <w:rPr>
                <w:rFonts w:ascii="Calibri" w:hAnsi="Calibri" w:cs="Calibri" w:eastAsia="Calibri"/>
                <w:b w:val="0"/>
                <w:i w:val="0"/>
                <w:sz w:val="18"/>
                <w:szCs w:val="18"/>
              </w:rPr>
              <w:t>DE-REG-002: Detection Use Case Catalog</w:t>
            </w:r>
          </w:p>
          <w:p>
            <w:r>
              <w:rPr>
                <w:rFonts w:ascii="Calibri" w:hAnsi="Calibri" w:cs="Calibri" w:eastAsia="Calibri"/>
                <w:b w:val="0"/>
                <w:i w:val="0"/>
                <w:sz w:val="18"/>
                <w:szCs w:val="18"/>
              </w:rPr>
              <w:t>DE-PRC-003: Threat Hunting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DE-STD-001  |  Security Monitoring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