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Evidence Chain of Custody Form</w:t>
      </w:r>
    </w:p>
    <w:p>
      <w:pPr>
        <w:spacing w:after="80" w:before="0"/>
      </w:pPr>
      <w:r>
        <w:rPr>
          <w:rFonts w:ascii="Calibri" w:hAnsi="Calibri" w:cs="Calibri" w:eastAsia="Calibri"/>
          <w:b w:val="0"/>
          <w:i w:val="0"/>
          <w:color w:val="595959"/>
          <w:sz w:val="18"/>
          <w:szCs w:val="18"/>
        </w:rPr>
        <w:t>RS-FRM-002  |  Form  |  Incident Analysis (RS.AN)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RS-FRM-002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Evidence Chain of Custody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16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16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Analysis (RS.AN)</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5.28; ISO/IEC 27037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13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16 May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records every transfer of evidence, preserving its integrity and provenance (RS.AN-06, RS.AN-07).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(RS-PRC-002)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Evidence ID and incident ID</w:t>
            </w:r>
          </w:p>
        </w:tc>
        <w:tc>
          <w:tcPr>
            <w:tcW w:type="dxa" w:w="3628"/>
          </w:tcPr>
          <w:p>
            <w:r/>
            <w:r>
              <w:rPr>
                <w:rFonts w:ascii="Calibri" w:hAnsi="Calibri" w:cs="Calibri" w:eastAsia="Calibri"/>
                <w:b w:val="0"/>
                <w:i w:val="0"/>
                <w:sz w:val="18"/>
                <w:szCs w:val="18"/>
              </w:rPr>
              <w:t>Unique references.</w:t>
            </w:r>
          </w:p>
        </w:tc>
        <w:tc>
          <w:tcPr>
            <w:tcW w:type="dxa" w:w="2835"/>
          </w:tcPr>
          <w:p>
            <w:r/>
            <w:r>
              <w:rPr>
                <w:rFonts w:ascii="Calibri" w:hAnsi="Calibri" w:cs="Calibri" w:eastAsia="Calibri"/>
                <w:b w:val="0"/>
                <w:i w:val="0"/>
                <w:sz w:val="18"/>
                <w:szCs w:val="18"/>
              </w:rPr>
              <w:t>EV-2026-009 / INC-2026-021</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Description</w:t>
            </w:r>
          </w:p>
        </w:tc>
        <w:tc>
          <w:tcPr>
            <w:tcW w:type="dxa" w:w="3628"/>
          </w:tcPr>
          <w:p>
            <w:r/>
            <w:r>
              <w:rPr>
                <w:rFonts w:ascii="Calibri" w:hAnsi="Calibri" w:cs="Calibri" w:eastAsia="Calibri"/>
                <w:b w:val="0"/>
                <w:i w:val="0"/>
                <w:sz w:val="18"/>
                <w:szCs w:val="18"/>
              </w:rPr>
              <w:t>Item, serial number, or image file.</w:t>
            </w:r>
          </w:p>
        </w:tc>
        <w:tc>
          <w:tcPr>
            <w:tcW w:type="dxa" w:w="2835"/>
          </w:tcPr>
          <w:p>
            <w:r/>
            <w:r>
              <w:rPr>
                <w:rFonts w:ascii="Calibri" w:hAnsi="Calibri" w:cs="Calibri" w:eastAsia="Calibri"/>
                <w:b w:val="0"/>
                <w:i w:val="0"/>
                <w:sz w:val="18"/>
                <w:szCs w:val="18"/>
              </w:rPr>
              <w:t>Disk image of modality workstation MED-IMG-002 (CT-02) and remote support agent logs</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Collected by, date, time, location</w:t>
            </w:r>
          </w:p>
        </w:tc>
        <w:tc>
          <w:tcPr>
            <w:tcW w:type="dxa" w:w="3628"/>
          </w:tcPr>
          <w:p>
            <w:r/>
            <w:r>
              <w:rPr>
                <w:rFonts w:ascii="Calibri" w:hAnsi="Calibri" w:cs="Calibri" w:eastAsia="Calibri"/>
                <w:b w:val="0"/>
                <w:i w:val="0"/>
                <w:sz w:val="18"/>
                <w:szCs w:val="18"/>
              </w:rPr>
              <w:t>Collection details.</w:t>
            </w:r>
          </w:p>
        </w:tc>
        <w:tc>
          <w:tcPr>
            <w:tcW w:type="dxa" w:w="2835"/>
          </w:tcPr>
          <w:p>
            <w:r/>
            <w:r>
              <w:rPr>
                <w:rFonts w:ascii="Calibri" w:hAnsi="Calibri" w:cs="Calibri" w:eastAsia="Calibri"/>
                <w:b w:val="0"/>
                <w:i w:val="0"/>
                <w:sz w:val="18"/>
                <w:szCs w:val="18"/>
              </w:rPr>
              <w:t>Security Engineer, 12 August 2026, 14:30, Riverside Radiology</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Collection method and tool</w:t>
            </w:r>
          </w:p>
        </w:tc>
        <w:tc>
          <w:tcPr>
            <w:tcW w:type="dxa" w:w="3628"/>
          </w:tcPr>
          <w:p>
            <w:r/>
            <w:r>
              <w:rPr>
                <w:rFonts w:ascii="Calibri" w:hAnsi="Calibri" w:cs="Calibri" w:eastAsia="Calibri"/>
                <w:b w:val="0"/>
                <w:i w:val="0"/>
                <w:sz w:val="18"/>
                <w:szCs w:val="18"/>
              </w:rPr>
              <w:t>For example, write blocker, memory capture tool.</w:t>
            </w:r>
          </w:p>
        </w:tc>
        <w:tc>
          <w:tcPr>
            <w:tcW w:type="dxa" w:w="2835"/>
          </w:tcPr>
          <w:p>
            <w:r/>
            <w:r>
              <w:rPr>
                <w:rFonts w:ascii="Calibri" w:hAnsi="Calibri" w:cs="Calibri" w:eastAsia="Calibri"/>
                <w:b w:val="0"/>
                <w:i w:val="0"/>
                <w:sz w:val="18"/>
                <w:szCs w:val="18"/>
              </w:rPr>
              <w:t>Forensic imaging tool with hardware write blocker; workstation taken offline with Radiology approval</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Hash value (SHA-256)</w:t>
            </w:r>
          </w:p>
        </w:tc>
        <w:tc>
          <w:tcPr>
            <w:tcW w:type="dxa" w:w="3628"/>
          </w:tcPr>
          <w:p>
            <w:r/>
            <w:r>
              <w:rPr>
                <w:rFonts w:ascii="Calibri" w:hAnsi="Calibri" w:cs="Calibri" w:eastAsia="Calibri"/>
                <w:b w:val="0"/>
                <w:i w:val="0"/>
                <w:sz w:val="18"/>
                <w:szCs w:val="18"/>
              </w:rPr>
              <w:t>Of original or image.</w:t>
            </w:r>
          </w:p>
        </w:tc>
        <w:tc>
          <w:tcPr>
            <w:tcW w:type="dxa" w:w="2835"/>
          </w:tcPr>
          <w:p>
            <w:r/>
            <w:r>
              <w:rPr>
                <w:rFonts w:ascii="Calibri" w:hAnsi="Calibri" w:cs="Calibri" w:eastAsia="Calibri"/>
                <w:b w:val="0"/>
                <w:i w:val="0"/>
                <w:sz w:val="18"/>
                <w:szCs w:val="18"/>
              </w:rPr>
              <w:t>SHA-256 recorded in case file (value withheld in sample)</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Transfer log</w:t>
            </w:r>
          </w:p>
        </w:tc>
        <w:tc>
          <w:tcPr>
            <w:tcW w:type="dxa" w:w="3628"/>
          </w:tcPr>
          <w:p>
            <w:r/>
            <w:r>
              <w:rPr>
                <w:rFonts w:ascii="Calibri" w:hAnsi="Calibri" w:cs="Calibri" w:eastAsia="Calibri"/>
                <w:b w:val="0"/>
                <w:i w:val="0"/>
                <w:sz w:val="18"/>
                <w:szCs w:val="18"/>
              </w:rPr>
              <w:t>Released by, received by, date, time, purpose for each transfer.</w:t>
            </w:r>
          </w:p>
        </w:tc>
        <w:tc>
          <w:tcPr>
            <w:tcW w:type="dxa" w:w="2835"/>
          </w:tcPr>
          <w:p>
            <w:r/>
            <w:r>
              <w:rPr>
                <w:rFonts w:ascii="Calibri" w:hAnsi="Calibri" w:cs="Calibri" w:eastAsia="Calibri"/>
                <w:b w:val="0"/>
                <w:i w:val="0"/>
                <w:sz w:val="18"/>
                <w:szCs w:val="18"/>
              </w:rPr>
              <w:t>Released by Security Engineer to IR retainer analyst, 13 August 2026 09:00, for analysis; returned 20 August 2026 16:00</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Storage location</w:t>
            </w:r>
          </w:p>
        </w:tc>
        <w:tc>
          <w:tcPr>
            <w:tcW w:type="dxa" w:w="3628"/>
          </w:tcPr>
          <w:p>
            <w:r/>
            <w:r>
              <w:rPr>
                <w:rFonts w:ascii="Calibri" w:hAnsi="Calibri" w:cs="Calibri" w:eastAsia="Calibri"/>
                <w:b w:val="0"/>
                <w:i w:val="0"/>
                <w:sz w:val="18"/>
                <w:szCs w:val="18"/>
              </w:rPr>
              <w:t>Secure storage.</w:t>
            </w:r>
          </w:p>
        </w:tc>
        <w:tc>
          <w:tcPr>
            <w:tcW w:type="dxa" w:w="2835"/>
          </w:tcPr>
          <w:p>
            <w:r/>
            <w:r>
              <w:rPr>
                <w:rFonts w:ascii="Calibri" w:hAnsi="Calibri" w:cs="Calibri" w:eastAsia="Calibri"/>
                <w:b w:val="0"/>
                <w:i w:val="0"/>
                <w:sz w:val="18"/>
                <w:szCs w:val="18"/>
              </w:rPr>
              <w:t>Locked evidence cabinet, Security Office, Riverside</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Reviewer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Verify hash values at every transfer.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Gaps in the transfer log, which weakens evidence in legal proceedings.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RS.AN-06: Actions performed during an investigation are recorded and the records' integrity and provenance are preserved</w:t>
            </w:r>
          </w:p>
          <w:p>
            <w:r>
              <w:rPr>
                <w:rFonts w:ascii="Calibri" w:hAnsi="Calibri" w:cs="Calibri" w:eastAsia="Calibri"/>
                <w:b w:val="0"/>
                <w:i w:val="0"/>
                <w:sz w:val="18"/>
                <w:szCs w:val="18"/>
              </w:rPr>
              <w:t>RS.AN-07: Incident data and metadata are collected, and their integrity and provenance are preserved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AU-9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5.28; ISO/IEC 27037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RS-PRC-002: Digital Forensics and Evidence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RS-FRM-002  |  Evidence Chain of Custody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