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Digital Forensics and Evidence Handling Procedure</w:t>
      </w:r>
    </w:p>
    <w:p>
      <w:pPr>
        <w:spacing w:after="80" w:before="0"/>
      </w:pPr>
      <w:r>
        <w:rPr>
          <w:rFonts w:ascii="Calibri" w:hAnsi="Calibri" w:cs="Calibri" w:eastAsia="Calibri"/>
          <w:b w:val="0"/>
          <w:i w:val="0"/>
          <w:color w:val="595959"/>
          <w:sz w:val="18"/>
          <w:szCs w:val="18"/>
        </w:rPr>
        <w:t>RS-PRC-002  |  Procedure  |  Incident Analysis (RS.AN)</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RS-PRC-002</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Digital Forensics and Evidence Handling Procedure</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5 September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5 September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Procedure</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Respond (RS)</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Incident Analysis (RS.AN)</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5.28; ISO/IEC 27037</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6 June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5 September 2026</w:t>
            </w:r>
          </w:p>
        </w:tc>
        <w:tc>
          <w:tcPr>
            <w:tcW w:type="dxa" w:w="3742"/>
          </w:tcPr>
          <w:p>
            <w:r/>
            <w:r>
              <w:rPr>
                <w:rFonts w:ascii="Calibri" w:hAnsi="Calibri" w:cs="Calibri" w:eastAsia="Calibri"/>
                <w:b w:val="0"/>
                <w:i w:val="0"/>
                <w:sz w:val="18"/>
                <w:szCs w:val="18"/>
              </w:rPr>
              <w:t>Updated after the February 2026 ransomware tabletop exercise (EX-2026-01) and the June 2026 email compromise attempt (INC-2026-014).</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defines how digital evidence is identified, collected, preserved, analyzed, and documented so that findings are reliable and usable for legal, regulatory, or disciplinary purposes (RS.AN-03, RS.AN-06, RS.AN-07, RS.AN-08; ISO/IEC 27037).</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applies to all units and personnel who perform or support the activities described below, including third parties acting on behalf of Chaophraya Medical Center (CMC).</w:t>
      </w:r>
    </w:p>
    <w:p>
      <w:pPr>
        <w:pStyle w:val="Heading2"/>
        <w:keepNext/>
        <w:spacing w:before="120" w:after="80"/>
      </w:pPr>
      <w:r>
        <w:rPr>
          <w:rFonts w:ascii="Calibri" w:hAnsi="Calibri" w:cs="Calibri" w:eastAsia="Calibri"/>
          <w:b/>
          <w:i w:val="0"/>
          <w:color w:val="1F3864"/>
          <w:sz w:val="24"/>
          <w:szCs w:val="24"/>
          <w:bCs/>
        </w:rPr>
        <w:t>4.3 Evidence Handling Principles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core principles.</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Collect the most volatile evidence first (memory, network connections, running processes), then disks and logs.</w:t>
      </w:r>
    </w:p>
    <w:p>
      <w:pPr>
        <w:pStyle w:val="ListBullet"/>
        <w:spacing w:after="40"/>
      </w:pPr>
      <w:r>
        <w:rPr>
          <w:rFonts w:ascii="Calibri" w:hAnsi="Calibri" w:cs="Calibri" w:eastAsia="Calibri"/>
          <w:b w:val="0"/>
          <w:i w:val="0"/>
          <w:sz w:val="21"/>
          <w:szCs w:val="21"/>
        </w:rPr>
        <w:t>Work on forensic copies; record hash values (SHA-256) of originals and copies.</w:t>
      </w:r>
    </w:p>
    <w:p>
      <w:pPr>
        <w:pStyle w:val="ListBullet"/>
        <w:spacing w:after="40"/>
      </w:pPr>
      <w:r>
        <w:rPr>
          <w:rFonts w:ascii="Calibri" w:hAnsi="Calibri" w:cs="Calibri" w:eastAsia="Calibri"/>
          <w:b w:val="0"/>
          <w:i w:val="0"/>
          <w:sz w:val="21"/>
          <w:szCs w:val="21"/>
        </w:rPr>
        <w:t>Record every action with time, person, and tool (RS.AN-06).</w:t>
      </w:r>
    </w:p>
    <w:p>
      <w:pPr>
        <w:pStyle w:val="ListBullet"/>
        <w:spacing w:after="40"/>
      </w:pPr>
      <w:r>
        <w:rPr>
          <w:rFonts w:ascii="Calibri" w:hAnsi="Calibri" w:cs="Calibri" w:eastAsia="Calibri"/>
          <w:b w:val="0"/>
          <w:i w:val="0"/>
          <w:sz w:val="21"/>
          <w:szCs w:val="21"/>
        </w:rPr>
        <w:t>Maintain chain of custody for physical and digital evidence (RS-FRM-002).</w:t>
      </w:r>
    </w:p>
    <w:p>
      <w:pPr>
        <w:pStyle w:val="ListBullet"/>
        <w:spacing w:after="40"/>
      </w:pPr>
      <w:r>
        <w:rPr>
          <w:rFonts w:ascii="Calibri" w:hAnsi="Calibri" w:cs="Calibri" w:eastAsia="Calibri"/>
          <w:b w:val="0"/>
          <w:i w:val="0"/>
          <w:sz w:val="21"/>
          <w:szCs w:val="21"/>
        </w:rPr>
        <w:t>Store evidence in a secure location with restricted access.</w:t>
      </w:r>
    </w:p>
    <w:p>
      <w:pPr>
        <w:pStyle w:val="ListBullet"/>
        <w:spacing w:after="40"/>
      </w:pPr>
      <w:r>
        <w:rPr>
          <w:rFonts w:ascii="Calibri" w:hAnsi="Calibri" w:cs="Calibri" w:eastAsia="Calibri"/>
          <w:b w:val="0"/>
          <w:i w:val="0"/>
          <w:sz w:val="21"/>
          <w:szCs w:val="21"/>
        </w:rPr>
        <w:t>Engage qualified forensic specialists for incidents likely to involve legal action.</w:t>
      </w:r>
    </w:p>
    <w:p>
      <w:pPr>
        <w:pStyle w:val="Heading2"/>
        <w:keepNext/>
        <w:spacing w:before="120" w:after="80"/>
      </w:pPr>
      <w:r>
        <w:rPr>
          <w:rFonts w:ascii="Calibri" w:hAnsi="Calibri" w:cs="Calibri" w:eastAsia="Calibri"/>
          <w:b/>
          <w:i w:val="0"/>
          <w:color w:val="1F3864"/>
          <w:sz w:val="24"/>
          <w:szCs w:val="24"/>
          <w:bCs/>
        </w:rPr>
        <w:t>4.4 Analysis Outputs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what the investigation must establish.</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Timeline of attacker activity.</w:t>
      </w:r>
    </w:p>
    <w:p>
      <w:pPr>
        <w:pStyle w:val="ListBullet"/>
        <w:spacing w:after="40"/>
      </w:pPr>
      <w:r>
        <w:rPr>
          <w:rFonts w:ascii="Calibri" w:hAnsi="Calibri" w:cs="Calibri" w:eastAsia="Calibri"/>
          <w:b w:val="0"/>
          <w:i w:val="0"/>
          <w:sz w:val="21"/>
          <w:szCs w:val="21"/>
        </w:rPr>
        <w:t>Initial access vector and root cause (RS.AN-03).</w:t>
      </w:r>
    </w:p>
    <w:p>
      <w:pPr>
        <w:pStyle w:val="ListBullet"/>
        <w:spacing w:after="40"/>
      </w:pPr>
      <w:r>
        <w:rPr>
          <w:rFonts w:ascii="Calibri" w:hAnsi="Calibri" w:cs="Calibri" w:eastAsia="Calibri"/>
          <w:b w:val="0"/>
          <w:i w:val="0"/>
          <w:sz w:val="21"/>
          <w:szCs w:val="21"/>
        </w:rPr>
        <w:t>Systems, accounts, and data affected; magnitude estimate validated (RS.AN-08).</w:t>
      </w:r>
    </w:p>
    <w:p>
      <w:pPr>
        <w:pStyle w:val="ListBullet"/>
        <w:spacing w:after="40"/>
      </w:pPr>
      <w:r>
        <w:rPr>
          <w:rFonts w:ascii="Calibri" w:hAnsi="Calibri" w:cs="Calibri" w:eastAsia="Calibri"/>
          <w:b w:val="0"/>
          <w:i w:val="0"/>
          <w:sz w:val="21"/>
          <w:szCs w:val="21"/>
        </w:rPr>
        <w:t>Indicators of compromise for detection and sharing.</w:t>
      </w:r>
    </w:p>
    <w:p>
      <w:pPr>
        <w:pStyle w:val="ListBullet"/>
        <w:spacing w:after="40"/>
      </w:pPr>
      <w:r>
        <w:rPr>
          <w:rFonts w:ascii="Calibri" w:hAnsi="Calibri" w:cs="Calibri" w:eastAsia="Calibri"/>
          <w:b w:val="0"/>
          <w:i w:val="0"/>
          <w:sz w:val="21"/>
          <w:szCs w:val="21"/>
        </w:rPr>
        <w:t>Report using RS-TPL-001.</w:t>
      </w:r>
    </w:p>
    <w:p>
      <w:pPr>
        <w:pStyle w:val="Heading2"/>
        <w:keepNext/>
        <w:spacing w:before="120" w:after="80"/>
      </w:pPr>
      <w:r>
        <w:rPr>
          <w:rFonts w:ascii="Calibri" w:hAnsi="Calibri" w:cs="Calibri" w:eastAsia="Calibri"/>
          <w:b/>
          <w:i w:val="0"/>
          <w:color w:val="1F3864"/>
          <w:sz w:val="24"/>
          <w:szCs w:val="24"/>
          <w:bCs/>
        </w:rPr>
        <w:t>4.5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RS-FRM-002: Evidence Chain of Custody Form</w:t>
      </w:r>
    </w:p>
    <w:p>
      <w:pPr>
        <w:pStyle w:val="ListBullet"/>
        <w:spacing w:after="40"/>
      </w:pPr>
      <w:r>
        <w:rPr>
          <w:rFonts w:ascii="Calibri" w:hAnsi="Calibri" w:cs="Calibri" w:eastAsia="Calibri"/>
          <w:b w:val="0"/>
          <w:i w:val="0"/>
          <w:sz w:val="21"/>
          <w:szCs w:val="21"/>
        </w:rPr>
        <w:t>Records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Prepare a forensic toolkit and evidence storage before incidents happen.</w:t>
      </w:r>
    </w:p>
    <w:p>
      <w:pPr>
        <w:pStyle w:val="ListBullet"/>
        <w:spacing w:after="40"/>
      </w:pPr>
      <w:r>
        <w:rPr>
          <w:rFonts w:ascii="Calibri" w:hAnsi="Calibri" w:cs="Calibri" w:eastAsia="Calibri"/>
          <w:b w:val="0"/>
          <w:i w:val="0"/>
          <w:sz w:val="21"/>
          <w:szCs w:val="21"/>
        </w:rPr>
        <w:t>Agree with the IR retainer how evidence will be handed over and stored.</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Administrators browse an infected server to 'have a look', overwriting evidence.</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RS.AN-03: Analysis is performed to establish what has taken place during an incident and the root cause</w:t>
            </w:r>
          </w:p>
          <w:p>
            <w:r>
              <w:rPr>
                <w:rFonts w:ascii="Calibri" w:hAnsi="Calibri" w:cs="Calibri" w:eastAsia="Calibri"/>
                <w:b w:val="0"/>
                <w:i w:val="0"/>
                <w:sz w:val="18"/>
                <w:szCs w:val="18"/>
              </w:rPr>
              <w:t>RS.AN-06: Actions performed during an investigation are recorded and the records' integrity and provenance are preserved</w:t>
            </w:r>
          </w:p>
          <w:p>
            <w:r>
              <w:rPr>
                <w:rFonts w:ascii="Calibri" w:hAnsi="Calibri" w:cs="Calibri" w:eastAsia="Calibri"/>
                <w:b w:val="0"/>
                <w:i w:val="0"/>
                <w:sz w:val="18"/>
                <w:szCs w:val="18"/>
              </w:rPr>
              <w:t>RS.AN-07: Incident data and metadata are collected, and their integrity and provenance are preserved</w:t>
            </w:r>
          </w:p>
          <w:p>
            <w:r>
              <w:rPr>
                <w:rFonts w:ascii="Calibri" w:hAnsi="Calibri" w:cs="Calibri" w:eastAsia="Calibri"/>
                <w:b w:val="0"/>
                <w:i w:val="0"/>
                <w:sz w:val="18"/>
                <w:szCs w:val="18"/>
              </w:rPr>
              <w:t>RS.AN-08: An incident's magnitude is estimated and validated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A.5.28</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AU-9, IR-4</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5.28; ISO/IEC 27037</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RS-PLN-001: Cybersecurity Incident Response Plan</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RS-FRM-002: Evidence Chain of Custody Form</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RS-PRC-002  |  Digital Forensics and Evidence Handling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