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Incident Investigation Report Template</w:t>
      </w:r>
    </w:p>
    <w:p>
      <w:pPr>
        <w:spacing w:after="80" w:before="0"/>
      </w:pPr>
      <w:r>
        <w:rPr>
          <w:rFonts w:ascii="Calibri" w:hAnsi="Calibri" w:cs="Calibri" w:eastAsia="Calibri"/>
          <w:b w:val="0"/>
          <w:i w:val="0"/>
          <w:color w:val="595959"/>
          <w:sz w:val="18"/>
          <w:szCs w:val="18"/>
        </w:rPr>
        <w:t>RS-TPL-001  |  Template  |  Incident Analysis (RS.AN)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RS-TPL-001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Incident Investigation Report Template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27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27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Analysis (RS.AN)</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5.26 and 5.27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20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27 August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structures the final report of an incident investigation, including timeline, root cause, impact, actions, and lessons, for management and regulators (RS.AN-03, RS.AN-08).</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(RS-PRC-001) and covers the activities that document defines.</w:t>
      </w:r>
    </w:p>
    <w:p>
      <w:pPr>
        <w:pStyle w:val="Heading2"/>
        <w:keepNext/>
        <w:spacing w:before="120" w:after="80"/>
      </w:pPr>
      <w:r>
        <w:rPr>
          <w:rFonts w:ascii="Calibri" w:hAnsi="Calibri" w:cs="Calibri" w:eastAsia="Calibri"/>
          <w:b/>
          <w:i w:val="0"/>
          <w:color w:val="1F3864"/>
          <w:sz w:val="24"/>
          <w:szCs w:val="24"/>
          <w:bCs/>
        </w:rPr>
        <w:t>4.3 Report Structure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Include the minimum report sections.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835"/>
        <w:gridCol w:w="6520"/>
      </w:tblGrid>
      <w:tr>
        <w:trPr>
          <w:tblHeader w:val="true"/>
        </w:trPr>
        <w:tc>
          <w:tcPr>
            <w:tcW w:type="dxa" w:w="2835"/>
            <w:shd w:val="clear" w:color="auto" w:fill="1F3864"/>
          </w:tcPr>
          <w:p>
            <w:r/>
            <w:r>
              <w:rPr>
                <w:rFonts w:ascii="Calibri" w:hAnsi="Calibri" w:cs="Calibri" w:eastAsia="Calibri"/>
                <w:b/>
                <w:i w:val="0"/>
                <w:color w:val="FFFFFF"/>
                <w:sz w:val="18"/>
                <w:szCs w:val="18"/>
                <w:bCs/>
              </w:rPr>
              <w:t>Section</w:t>
            </w:r>
          </w:p>
        </w:tc>
        <w:tc>
          <w:tcPr>
            <w:tcW w:type="dxa" w:w="6520"/>
            <w:shd w:val="clear" w:color="auto" w:fill="1F3864"/>
          </w:tcPr>
          <w:p>
            <w:r/>
            <w:r>
              <w:rPr>
                <w:rFonts w:ascii="Calibri" w:hAnsi="Calibri" w:cs="Calibri" w:eastAsia="Calibri"/>
                <w:b/>
                <w:i w:val="0"/>
                <w:color w:val="FFFFFF"/>
                <w:sz w:val="18"/>
                <w:szCs w:val="18"/>
                <w:bCs/>
              </w:rPr>
              <w:t>Example from INC-2026-014</w:t>
            </w:r>
          </w:p>
        </w:tc>
      </w:tr>
      <w:tr>
        <w:tc>
          <w:tcPr>
            <w:tcW w:type="dxa" w:w="2835"/>
          </w:tcPr>
          <w:p>
            <w:r/>
            <w:r>
              <w:rPr>
                <w:rFonts w:ascii="Calibri" w:hAnsi="Calibri" w:cs="Calibri" w:eastAsia="Calibri"/>
                <w:b w:val="0"/>
                <w:i w:val="0"/>
                <w:sz w:val="18"/>
                <w:szCs w:val="18"/>
              </w:rPr>
              <w:t>1. Executive summary</w:t>
            </w:r>
          </w:p>
        </w:tc>
        <w:tc>
          <w:tcPr>
            <w:tcW w:type="dxa" w:w="6520"/>
          </w:tcPr>
          <w:p>
            <w:r/>
            <w:r>
              <w:rPr>
                <w:rFonts w:ascii="Calibri" w:hAnsi="Calibri" w:cs="Calibri" w:eastAsia="Calibri"/>
                <w:b w:val="0"/>
                <w:i w:val="0"/>
                <w:sz w:val="18"/>
                <w:szCs w:val="18"/>
              </w:rPr>
              <w:t>A procurement mailbox was compromised for 2 hours via phishing and MFA fatigue; a fraudulent bank change request was stopped; no payment loss; no notifiable breach.</w:t>
            </w:r>
          </w:p>
        </w:tc>
      </w:tr>
      <w:tr>
        <w:tc>
          <w:tcPr>
            <w:tcW w:type="dxa" w:w="2835"/>
          </w:tcPr>
          <w:p>
            <w:r/>
            <w:r>
              <w:rPr>
                <w:rFonts w:ascii="Calibri" w:hAnsi="Calibri" w:cs="Calibri" w:eastAsia="Calibri"/>
                <w:b w:val="0"/>
                <w:i w:val="0"/>
                <w:sz w:val="18"/>
                <w:szCs w:val="18"/>
              </w:rPr>
              <w:t>2. Timeline</w:t>
            </w:r>
          </w:p>
        </w:tc>
        <w:tc>
          <w:tcPr>
            <w:tcW w:type="dxa" w:w="6520"/>
          </w:tcPr>
          <w:p>
            <w:r/>
            <w:r>
              <w:rPr>
                <w:rFonts w:ascii="Calibri" w:hAnsi="Calibri" w:cs="Calibri" w:eastAsia="Calibri"/>
                <w:b w:val="0"/>
                <w:i w:val="0"/>
                <w:sz w:val="18"/>
                <w:szCs w:val="18"/>
              </w:rPr>
              <w:t>16 June 13:58 phishing click; 14:05 MFA approved; 14:20 MSSP alert; 14:35 declared SEV-2; 16:10 contained; 30 June closed.</w:t>
            </w:r>
          </w:p>
        </w:tc>
      </w:tr>
      <w:tr>
        <w:tc>
          <w:tcPr>
            <w:tcW w:type="dxa" w:w="2835"/>
          </w:tcPr>
          <w:p>
            <w:r/>
            <w:r>
              <w:rPr>
                <w:rFonts w:ascii="Calibri" w:hAnsi="Calibri" w:cs="Calibri" w:eastAsia="Calibri"/>
                <w:b w:val="0"/>
                <w:i w:val="0"/>
                <w:sz w:val="18"/>
                <w:szCs w:val="18"/>
              </w:rPr>
              <w:t>3. Root cause</w:t>
            </w:r>
          </w:p>
        </w:tc>
        <w:tc>
          <w:tcPr>
            <w:tcW w:type="dxa" w:w="6520"/>
          </w:tcPr>
          <w:p>
            <w:r/>
            <w:r>
              <w:rPr>
                <w:rFonts w:ascii="Calibri" w:hAnsi="Calibri" w:cs="Calibri" w:eastAsia="Calibri"/>
                <w:b w:val="0"/>
                <w:i w:val="0"/>
                <w:sz w:val="18"/>
                <w:szCs w:val="18"/>
              </w:rPr>
              <w:t>User approved an unexpected MFA prompt; push-notification MFA without number matching.</w:t>
            </w:r>
          </w:p>
        </w:tc>
      </w:tr>
      <w:tr>
        <w:tc>
          <w:tcPr>
            <w:tcW w:type="dxa" w:w="2835"/>
          </w:tcPr>
          <w:p>
            <w:r/>
            <w:r>
              <w:rPr>
                <w:rFonts w:ascii="Calibri" w:hAnsi="Calibri" w:cs="Calibri" w:eastAsia="Calibri"/>
                <w:b w:val="0"/>
                <w:i w:val="0"/>
                <w:sz w:val="18"/>
                <w:szCs w:val="18"/>
              </w:rPr>
              <w:t>4. Impact</w:t>
            </w:r>
          </w:p>
        </w:tc>
        <w:tc>
          <w:tcPr>
            <w:tcW w:type="dxa" w:w="6520"/>
          </w:tcPr>
          <w:p>
            <w:r/>
            <w:r>
              <w:rPr>
                <w:rFonts w:ascii="Calibri" w:hAnsi="Calibri" w:cs="Calibri" w:eastAsia="Calibri"/>
                <w:b w:val="0"/>
                <w:i w:val="0"/>
                <w:sz w:val="18"/>
                <w:szCs w:val="18"/>
              </w:rPr>
              <w:t>One mailbox; vendor contact details viewed; 14 vendors warned.</w:t>
            </w:r>
          </w:p>
        </w:tc>
      </w:tr>
      <w:tr>
        <w:tc>
          <w:tcPr>
            <w:tcW w:type="dxa" w:w="2835"/>
          </w:tcPr>
          <w:p>
            <w:r/>
            <w:r>
              <w:rPr>
                <w:rFonts w:ascii="Calibri" w:hAnsi="Calibri" w:cs="Calibri" w:eastAsia="Calibri"/>
                <w:b w:val="0"/>
                <w:i w:val="0"/>
                <w:sz w:val="18"/>
                <w:szCs w:val="18"/>
              </w:rPr>
              <w:t>5. Notifications</w:t>
            </w:r>
          </w:p>
        </w:tc>
        <w:tc>
          <w:tcPr>
            <w:tcW w:type="dxa" w:w="6520"/>
          </w:tcPr>
          <w:p>
            <w:r/>
            <w:r>
              <w:rPr>
                <w:rFonts w:ascii="Calibri" w:hAnsi="Calibri" w:cs="Calibri" w:eastAsia="Calibri"/>
                <w:b w:val="0"/>
                <w:i w:val="0"/>
                <w:sz w:val="18"/>
                <w:szCs w:val="18"/>
              </w:rPr>
              <w:t>PDPC: assessed not required (no risk to rights); decision recorded. NCSA: not significant.</w:t>
            </w:r>
          </w:p>
        </w:tc>
      </w:tr>
      <w:tr>
        <w:tc>
          <w:tcPr>
            <w:tcW w:type="dxa" w:w="2835"/>
          </w:tcPr>
          <w:p>
            <w:r/>
            <w:r>
              <w:rPr>
                <w:rFonts w:ascii="Calibri" w:hAnsi="Calibri" w:cs="Calibri" w:eastAsia="Calibri"/>
                <w:b w:val="0"/>
                <w:i w:val="0"/>
                <w:sz w:val="18"/>
                <w:szCs w:val="18"/>
              </w:rPr>
              <w:t>6. Actions taken</w:t>
            </w:r>
          </w:p>
        </w:tc>
        <w:tc>
          <w:tcPr>
            <w:tcW w:type="dxa" w:w="6520"/>
          </w:tcPr>
          <w:p>
            <w:r/>
            <w:r>
              <w:rPr>
                <w:rFonts w:ascii="Calibri" w:hAnsi="Calibri" w:cs="Calibri" w:eastAsia="Calibri"/>
                <w:b w:val="0"/>
                <w:i w:val="0"/>
                <w:sz w:val="18"/>
                <w:szCs w:val="18"/>
              </w:rPr>
              <w:t>Account reset, rule removed, sessions revoked, tenant-wide purge.</w:t>
            </w:r>
          </w:p>
        </w:tc>
      </w:tr>
      <w:tr>
        <w:tc>
          <w:tcPr>
            <w:tcW w:type="dxa" w:w="2835"/>
          </w:tcPr>
          <w:p>
            <w:r/>
            <w:r>
              <w:rPr>
                <w:rFonts w:ascii="Calibri" w:hAnsi="Calibri" w:cs="Calibri" w:eastAsia="Calibri"/>
                <w:b w:val="0"/>
                <w:i w:val="0"/>
                <w:sz w:val="18"/>
                <w:szCs w:val="18"/>
              </w:rPr>
              <w:t>7. Recommendations</w:t>
            </w:r>
          </w:p>
        </w:tc>
        <w:tc>
          <w:tcPr>
            <w:tcW w:type="dxa" w:w="6520"/>
          </w:tcPr>
          <w:p>
            <w:r/>
            <w:r>
              <w:rPr>
                <w:rFonts w:ascii="Calibri" w:hAnsi="Calibri" w:cs="Calibri" w:eastAsia="Calibri"/>
                <w:b w:val="0"/>
                <w:i w:val="0"/>
                <w:sz w:val="18"/>
                <w:szCs w:val="18"/>
              </w:rPr>
              <w:t>Number matching for MFA (done 07/2026); call-back verification for bank changes (CAR-2026-011).</w:t>
            </w:r>
          </w:p>
        </w:tc>
      </w:tr>
      <w:tr>
        <w:tc>
          <w:tcPr>
            <w:tcW w:type="dxa" w:w="2835"/>
          </w:tcPr>
          <w:p>
            <w:r/>
            <w:r>
              <w:rPr>
                <w:rFonts w:ascii="Calibri" w:hAnsi="Calibri" w:cs="Calibri" w:eastAsia="Calibri"/>
                <w:b w:val="0"/>
                <w:i w:val="0"/>
                <w:sz w:val="18"/>
                <w:szCs w:val="18"/>
              </w:rPr>
              <w:t>8. Evidence references</w:t>
            </w:r>
          </w:p>
        </w:tc>
        <w:tc>
          <w:tcPr>
            <w:tcW w:type="dxa" w:w="6520"/>
          </w:tcPr>
          <w:p>
            <w:r/>
            <w:r>
              <w:rPr>
                <w:rFonts w:ascii="Calibri" w:hAnsi="Calibri" w:cs="Calibri" w:eastAsia="Calibri"/>
                <w:b w:val="0"/>
                <w:i w:val="0"/>
                <w:sz w:val="18"/>
                <w:szCs w:val="18"/>
              </w:rPr>
              <w:t>EV-2026-006 (mailbox audit export)</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Write the executive summary for a non-technical reader and put technical detail in annexes.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Reports blame individuals instead of explaining control failures.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RS.AN-03: Analysis is performed to establish what has taken place during an incident and the root cause</w:t>
            </w:r>
          </w:p>
          <w:p>
            <w:r>
              <w:rPr>
                <w:rFonts w:ascii="Calibri" w:hAnsi="Calibri" w:cs="Calibri" w:eastAsia="Calibri"/>
                <w:b w:val="0"/>
                <w:i w:val="0"/>
                <w:sz w:val="18"/>
                <w:szCs w:val="18"/>
              </w:rPr>
              <w:t>RS.AN-06: Actions performed during an investigation are recorded and the records' integrity and provenance are preserved</w:t>
            </w:r>
          </w:p>
          <w:p>
            <w:r>
              <w:rPr>
                <w:rFonts w:ascii="Calibri" w:hAnsi="Calibri" w:cs="Calibri" w:eastAsia="Calibri"/>
                <w:b w:val="0"/>
                <w:i w:val="0"/>
                <w:sz w:val="18"/>
                <w:szCs w:val="18"/>
              </w:rPr>
              <w:t>RS.AN-08: An incident's magnitude is estimated and validated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A.5.26, Annex A.5.27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 IR-6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5.26 and 5.27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RS-PRC-001: Incident Handling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RS-TPL-001  |  Incident Investigation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