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Incident Notification and Communication Procedure</w:t>
      </w:r>
    </w:p>
    <w:p>
      <w:pPr>
        <w:spacing w:after="80" w:before="0"/>
      </w:pPr>
      <w:r>
        <w:rPr>
          <w:rFonts w:ascii="Calibri" w:hAnsi="Calibri" w:cs="Calibri" w:eastAsia="Calibri"/>
          <w:b w:val="0"/>
          <w:i w:val="0"/>
          <w:color w:val="595959"/>
          <w:sz w:val="18"/>
          <w:szCs w:val="18"/>
        </w:rPr>
        <w:t>RS-PRC-003  |  Procedure  |  Incident Response Reporting and Communication (RS.CO)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RS-PRC-003</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Incident Notification and Communication Procedure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Executive Officer (CEO)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11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11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3: Procedure, Plan, Playbook, and Guideline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Procedure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Respond (RS)</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Incident Response Reporting and Communication (RS.CO)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 CII</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PDPA s.37(4) (notify the PDPC within 72 hours); CSA s.57 and s.58; CRC Notification on CII duties 2024 [VERIFY]</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(high priority for CII)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27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11 April 2026</w:t>
            </w:r>
          </w:p>
        </w:tc>
        <w:tc>
          <w:tcPr>
            <w:tcW w:type="dxa" w:w="3742"/>
          </w:tcPr>
          <w:p>
            <w:r/>
            <w:r>
              <w:rPr>
                <w:rFonts w:ascii="Calibri" w:hAnsi="Calibri" w:cs="Calibri" w:eastAsia="Calibri"/>
                <w:b w:val="0"/>
                <w:i w:val="0"/>
                <w:sz w:val="18"/>
                <w:szCs w:val="18"/>
              </w:rPr>
              <w:t>Updated in March 2026 after EX-2026-01 to add night-time approval delegation; regulator portal access for the CII channel pending (GV-REG-006, CII-05).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Executive Officer (CEO)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defines who must be notified about an incident, by whom, within what timeframe, and through which channel, covering internal stakeholders, the PDPC, NCSA, sector regulators, data subjects, and partners (RS.CO-02, RS.CO-03).</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procedure applies to all units and personnel who perform or support the activities described below, including third parties acting on behalf of Chaophraya Medical Center (CMC).</w:t>
      </w:r>
    </w:p>
    <w:p>
      <w:pPr>
        <w:pStyle w:val="Heading2"/>
        <w:keepNext/>
        <w:spacing w:before="120" w:after="80"/>
      </w:pPr>
      <w:r>
        <w:rPr>
          <w:rFonts w:ascii="Calibri" w:hAnsi="Calibri" w:cs="Calibri" w:eastAsia="Calibri"/>
          <w:b/>
          <w:i w:val="0"/>
          <w:color w:val="1F3864"/>
          <w:sz w:val="24"/>
          <w:szCs w:val="24"/>
          <w:bCs/>
        </w:rPr>
        <w:t>4.3 Notification Matrix</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each audience with trigger, deadline, owner, and channel.</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rPr>
          <w:tblHeader w:val="true"/>
        </w:trPr>
        <w:tc>
          <w:tcPr>
            <w:tcW w:type="dxa" w:w="1871"/>
            <w:shd w:val="clear" w:color="auto" w:fill="1F3864"/>
          </w:tcPr>
          <w:p>
            <w:r/>
            <w:r>
              <w:rPr>
                <w:rFonts w:ascii="Calibri" w:hAnsi="Calibri" w:cs="Calibri" w:eastAsia="Calibri"/>
                <w:b/>
                <w:i w:val="0"/>
                <w:color w:val="FFFFFF"/>
                <w:sz w:val="18"/>
                <w:szCs w:val="18"/>
                <w:bCs/>
              </w:rPr>
              <w:t>Audience</w:t>
            </w:r>
          </w:p>
        </w:tc>
        <w:tc>
          <w:tcPr>
            <w:tcW w:type="dxa" w:w="1871"/>
            <w:shd w:val="clear" w:color="auto" w:fill="1F3864"/>
          </w:tcPr>
          <w:p>
            <w:r/>
            <w:r>
              <w:rPr>
                <w:rFonts w:ascii="Calibri" w:hAnsi="Calibri" w:cs="Calibri" w:eastAsia="Calibri"/>
                <w:b/>
                <w:i w:val="0"/>
                <w:color w:val="FFFFFF"/>
                <w:sz w:val="18"/>
                <w:szCs w:val="18"/>
                <w:bCs/>
              </w:rPr>
              <w:t>Trigger</w:t>
            </w:r>
          </w:p>
        </w:tc>
        <w:tc>
          <w:tcPr>
            <w:tcW w:type="dxa" w:w="1871"/>
            <w:shd w:val="clear" w:color="auto" w:fill="1F3864"/>
          </w:tcPr>
          <w:p>
            <w:r/>
            <w:r>
              <w:rPr>
                <w:rFonts w:ascii="Calibri" w:hAnsi="Calibri" w:cs="Calibri" w:eastAsia="Calibri"/>
                <w:b/>
                <w:i w:val="0"/>
                <w:color w:val="FFFFFF"/>
                <w:sz w:val="18"/>
                <w:szCs w:val="18"/>
                <w:bCs/>
              </w:rPr>
              <w:t>Deadline</w:t>
            </w:r>
          </w:p>
        </w:tc>
        <w:tc>
          <w:tcPr>
            <w:tcW w:type="dxa" w:w="1871"/>
            <w:shd w:val="clear" w:color="auto" w:fill="1F3864"/>
          </w:tcPr>
          <w:p>
            <w:r/>
            <w:r>
              <w:rPr>
                <w:rFonts w:ascii="Calibri" w:hAnsi="Calibri" w:cs="Calibri" w:eastAsia="Calibri"/>
                <w:b/>
                <w:i w:val="0"/>
                <w:color w:val="FFFFFF"/>
                <w:sz w:val="18"/>
                <w:szCs w:val="18"/>
                <w:bCs/>
              </w:rPr>
              <w:t>Owner</w:t>
            </w:r>
          </w:p>
        </w:tc>
        <w:tc>
          <w:tcPr>
            <w:tcW w:type="dxa" w:w="1871"/>
            <w:shd w:val="clear" w:color="auto" w:fill="1F3864"/>
          </w:tcPr>
          <w:p>
            <w:r/>
            <w:r>
              <w:rPr>
                <w:rFonts w:ascii="Calibri" w:hAnsi="Calibri" w:cs="Calibri" w:eastAsia="Calibri"/>
                <w:b/>
                <w:i w:val="0"/>
                <w:color w:val="FFFFFF"/>
                <w:sz w:val="18"/>
                <w:szCs w:val="18"/>
                <w:bCs/>
              </w:rPr>
              <w:t>Channel</w:t>
            </w:r>
          </w:p>
        </w:tc>
      </w:tr>
      <w:tr>
        <w:tc>
          <w:tcPr>
            <w:tcW w:type="dxa" w:w="1871"/>
          </w:tcPr>
          <w:p>
            <w:r/>
            <w:r>
              <w:rPr>
                <w:rFonts w:ascii="Calibri" w:hAnsi="Calibri" w:cs="Calibri" w:eastAsia="Calibri"/>
                <w:b w:val="0"/>
                <w:i w:val="0"/>
                <w:sz w:val="18"/>
                <w:szCs w:val="18"/>
              </w:rPr>
              <w:t>Chief Executive Officer (CEO) and executives</w:t>
            </w:r>
          </w:p>
        </w:tc>
        <w:tc>
          <w:tcPr>
            <w:tcW w:type="dxa" w:w="1871"/>
          </w:tcPr>
          <w:p>
            <w:r/>
            <w:r>
              <w:rPr>
                <w:rFonts w:ascii="Calibri" w:hAnsi="Calibri" w:cs="Calibri" w:eastAsia="Calibri"/>
                <w:b w:val="0"/>
                <w:i w:val="0"/>
                <w:sz w:val="18"/>
                <w:szCs w:val="18"/>
              </w:rPr>
              <w:t>SEV-1 or SEV-2</w:t>
            </w:r>
          </w:p>
        </w:tc>
        <w:tc>
          <w:tcPr>
            <w:tcW w:type="dxa" w:w="1871"/>
          </w:tcPr>
          <w:p>
            <w:r/>
            <w:r>
              <w:rPr>
                <w:rFonts w:ascii="Calibri" w:hAnsi="Calibri" w:cs="Calibri" w:eastAsia="Calibri"/>
                <w:b w:val="0"/>
                <w:i w:val="0"/>
                <w:sz w:val="18"/>
                <w:szCs w:val="18"/>
              </w:rPr>
              <w:t>1 to 2 hours</w:t>
            </w:r>
          </w:p>
        </w:tc>
        <w:tc>
          <w:tcPr>
            <w:tcW w:type="dxa" w:w="1871"/>
          </w:tcPr>
          <w:p>
            <w:r/>
            <w:r>
              <w:rPr>
                <w:rFonts w:ascii="Calibri" w:hAnsi="Calibri" w:cs="Calibri" w:eastAsia="Calibri"/>
                <w:b w:val="0"/>
                <w:i w:val="0"/>
                <w:sz w:val="18"/>
                <w:szCs w:val="18"/>
              </w:rPr>
              <w:t>Security Manager</w:t>
            </w:r>
          </w:p>
        </w:tc>
        <w:tc>
          <w:tcPr>
            <w:tcW w:type="dxa" w:w="1871"/>
          </w:tcPr>
          <w:p>
            <w:r/>
            <w:r>
              <w:rPr>
                <w:rFonts w:ascii="Calibri" w:hAnsi="Calibri" w:cs="Calibri" w:eastAsia="Calibri"/>
                <w:b w:val="0"/>
                <w:i w:val="0"/>
                <w:sz w:val="18"/>
                <w:szCs w:val="18"/>
              </w:rPr>
              <w:t>Phone</w:t>
            </w:r>
          </w:p>
        </w:tc>
      </w:tr>
      <w:tr>
        <w:tc>
          <w:tcPr>
            <w:tcW w:type="dxa" w:w="1871"/>
          </w:tcPr>
          <w:p>
            <w:r/>
            <w:r>
              <w:rPr>
                <w:rFonts w:ascii="Calibri" w:hAnsi="Calibri" w:cs="Calibri" w:eastAsia="Calibri"/>
                <w:b w:val="0"/>
                <w:i w:val="0"/>
                <w:sz w:val="18"/>
                <w:szCs w:val="18"/>
              </w:rPr>
              <w:t>PDPC</w:t>
            </w:r>
          </w:p>
        </w:tc>
        <w:tc>
          <w:tcPr>
            <w:tcW w:type="dxa" w:w="1871"/>
          </w:tcPr>
          <w:p>
            <w:r/>
            <w:r>
              <w:rPr>
                <w:rFonts w:ascii="Calibri" w:hAnsi="Calibri" w:cs="Calibri" w:eastAsia="Calibri"/>
                <w:b w:val="0"/>
                <w:i w:val="0"/>
                <w:sz w:val="18"/>
                <w:szCs w:val="18"/>
              </w:rPr>
              <w:t>Personal data breach with risk to rights and freedoms</w:t>
            </w:r>
          </w:p>
        </w:tc>
        <w:tc>
          <w:tcPr>
            <w:tcW w:type="dxa" w:w="1871"/>
          </w:tcPr>
          <w:p>
            <w:r/>
            <w:r>
              <w:rPr>
                <w:rFonts w:ascii="Calibri" w:hAnsi="Calibri" w:cs="Calibri" w:eastAsia="Calibri"/>
                <w:b w:val="0"/>
                <w:i w:val="0"/>
                <w:sz w:val="18"/>
                <w:szCs w:val="18"/>
              </w:rPr>
              <w:t>Within 72 hours of awareness (PDPA s.37(4))</w:t>
            </w:r>
          </w:p>
        </w:tc>
        <w:tc>
          <w:tcPr>
            <w:tcW w:type="dxa" w:w="1871"/>
          </w:tcPr>
          <w:p>
            <w:r/>
            <w:r>
              <w:rPr>
                <w:rFonts w:ascii="Calibri" w:hAnsi="Calibri" w:cs="Calibri" w:eastAsia="Calibri"/>
                <w:b w:val="0"/>
                <w:i w:val="0"/>
                <w:sz w:val="18"/>
                <w:szCs w:val="18"/>
              </w:rPr>
              <w:t>Data Protection Officer (DPO)</w:t>
            </w:r>
          </w:p>
        </w:tc>
        <w:tc>
          <w:tcPr>
            <w:tcW w:type="dxa" w:w="1871"/>
          </w:tcPr>
          <w:p>
            <w:r/>
            <w:r>
              <w:rPr>
                <w:rFonts w:ascii="Calibri" w:hAnsi="Calibri" w:cs="Calibri" w:eastAsia="Calibri"/>
                <w:b w:val="0"/>
                <w:i w:val="0"/>
                <w:sz w:val="18"/>
                <w:szCs w:val="18"/>
              </w:rPr>
              <w:t>PDPC e-service [VERIFY]</w:t>
            </w:r>
          </w:p>
        </w:tc>
      </w:tr>
      <w:tr>
        <w:tc>
          <w:tcPr>
            <w:tcW w:type="dxa" w:w="1871"/>
          </w:tcPr>
          <w:p>
            <w:r/>
            <w:r>
              <w:rPr>
                <w:rFonts w:ascii="Calibri" w:hAnsi="Calibri" w:cs="Calibri" w:eastAsia="Calibri"/>
                <w:b w:val="0"/>
                <w:i w:val="0"/>
                <w:sz w:val="18"/>
                <w:szCs w:val="18"/>
              </w:rPr>
              <w:t>Affected data subjects</w:t>
            </w:r>
          </w:p>
        </w:tc>
        <w:tc>
          <w:tcPr>
            <w:tcW w:type="dxa" w:w="1871"/>
          </w:tcPr>
          <w:p>
            <w:r/>
            <w:r>
              <w:rPr>
                <w:rFonts w:ascii="Calibri" w:hAnsi="Calibri" w:cs="Calibri" w:eastAsia="Calibri"/>
                <w:b w:val="0"/>
                <w:i w:val="0"/>
                <w:sz w:val="18"/>
                <w:szCs w:val="18"/>
              </w:rPr>
              <w:t>High risk to rights and freedoms</w:t>
            </w:r>
          </w:p>
        </w:tc>
        <w:tc>
          <w:tcPr>
            <w:tcW w:type="dxa" w:w="1871"/>
          </w:tcPr>
          <w:p>
            <w:r/>
            <w:r>
              <w:rPr>
                <w:rFonts w:ascii="Calibri" w:hAnsi="Calibri" w:cs="Calibri" w:eastAsia="Calibri"/>
                <w:b w:val="0"/>
                <w:i w:val="0"/>
                <w:sz w:val="18"/>
                <w:szCs w:val="18"/>
              </w:rPr>
              <w:t>Without delay</w:t>
            </w:r>
          </w:p>
        </w:tc>
        <w:tc>
          <w:tcPr>
            <w:tcW w:type="dxa" w:w="1871"/>
          </w:tcPr>
          <w:p>
            <w:r/>
            <w:r>
              <w:rPr>
                <w:rFonts w:ascii="Calibri" w:hAnsi="Calibri" w:cs="Calibri" w:eastAsia="Calibri"/>
                <w:b w:val="0"/>
                <w:i w:val="0"/>
                <w:sz w:val="18"/>
                <w:szCs w:val="18"/>
              </w:rPr>
              <w:t>Data Protection Officer (DPO)</w:t>
            </w:r>
          </w:p>
        </w:tc>
        <w:tc>
          <w:tcPr>
            <w:tcW w:type="dxa" w:w="1871"/>
          </w:tcPr>
          <w:p>
            <w:r/>
            <w:r>
              <w:rPr>
                <w:rFonts w:ascii="Calibri" w:hAnsi="Calibri" w:cs="Calibri" w:eastAsia="Calibri"/>
                <w:b w:val="0"/>
                <w:i w:val="0"/>
                <w:sz w:val="18"/>
                <w:szCs w:val="18"/>
              </w:rPr>
              <w:t>Letter, email, SMS</w:t>
            </w:r>
          </w:p>
        </w:tc>
      </w:tr>
      <w:tr>
        <w:tc>
          <w:tcPr>
            <w:tcW w:type="dxa" w:w="1871"/>
          </w:tcPr>
          <w:p>
            <w:r/>
            <w:r>
              <w:rPr>
                <w:rFonts w:ascii="Calibri" w:hAnsi="Calibri" w:cs="Calibri" w:eastAsia="Calibri"/>
                <w:b w:val="0"/>
                <w:i w:val="0"/>
                <w:sz w:val="18"/>
                <w:szCs w:val="18"/>
              </w:rPr>
              <w:t>NCSA and sector regulator</w:t>
            </w:r>
          </w:p>
        </w:tc>
        <w:tc>
          <w:tcPr>
            <w:tcW w:type="dxa" w:w="1871"/>
          </w:tcPr>
          <w:p>
            <w:r/>
            <w:r>
              <w:rPr>
                <w:rFonts w:ascii="Calibri" w:hAnsi="Calibri" w:cs="Calibri" w:eastAsia="Calibri"/>
                <w:b w:val="0"/>
                <w:i w:val="0"/>
                <w:sz w:val="18"/>
                <w:szCs w:val="18"/>
              </w:rPr>
              <w:t>Significant cyber incident at a CII organization</w:t>
            </w:r>
          </w:p>
        </w:tc>
        <w:tc>
          <w:tcPr>
            <w:tcW w:type="dxa" w:w="1871"/>
          </w:tcPr>
          <w:p>
            <w:r/>
            <w:r>
              <w:rPr>
                <w:rFonts w:ascii="Calibri" w:hAnsi="Calibri" w:cs="Calibri" w:eastAsia="Calibri"/>
                <w:b w:val="0"/>
                <w:i w:val="0"/>
                <w:sz w:val="18"/>
                <w:szCs w:val="18"/>
              </w:rPr>
              <w:t>Per CRC Notification 2024, reported as 24 hours [VERIFY]</w:t>
            </w:r>
          </w:p>
        </w:tc>
        <w:tc>
          <w:tcPr>
            <w:tcW w:type="dxa" w:w="1871"/>
          </w:tcPr>
          <w:p>
            <w:r/>
            <w:r>
              <w:rPr>
                <w:rFonts w:ascii="Calibri" w:hAnsi="Calibri" w:cs="Calibri" w:eastAsia="Calibri"/>
                <w:b w:val="0"/>
                <w:i w:val="0"/>
                <w:sz w:val="18"/>
                <w:szCs w:val="18"/>
              </w:rPr>
              <w:t>Security Manager</w:t>
            </w:r>
          </w:p>
        </w:tc>
        <w:tc>
          <w:tcPr>
            <w:tcW w:type="dxa" w:w="1871"/>
          </w:tcPr>
          <w:p>
            <w:r/>
            <w:r>
              <w:rPr>
                <w:rFonts w:ascii="Calibri" w:hAnsi="Calibri" w:cs="Calibri" w:eastAsia="Calibri"/>
                <w:b w:val="0"/>
                <w:i w:val="0"/>
                <w:sz w:val="18"/>
                <w:szCs w:val="18"/>
              </w:rPr>
              <w:t>NCSA channel [VERIFY]</w:t>
            </w:r>
          </w:p>
        </w:tc>
      </w:tr>
      <w:tr>
        <w:tc>
          <w:tcPr>
            <w:tcW w:type="dxa" w:w="1871"/>
          </w:tcPr>
          <w:p>
            <w:r/>
            <w:r>
              <w:rPr>
                <w:rFonts w:ascii="Calibri" w:hAnsi="Calibri" w:cs="Calibri" w:eastAsia="Calibri"/>
                <w:b w:val="0"/>
                <w:i w:val="0"/>
                <w:sz w:val="18"/>
                <w:szCs w:val="18"/>
              </w:rPr>
              <w:t>Customers and partners</w:t>
            </w:r>
          </w:p>
        </w:tc>
        <w:tc>
          <w:tcPr>
            <w:tcW w:type="dxa" w:w="1871"/>
          </w:tcPr>
          <w:p>
            <w:r/>
            <w:r>
              <w:rPr>
                <w:rFonts w:ascii="Calibri" w:hAnsi="Calibri" w:cs="Calibri" w:eastAsia="Calibri"/>
                <w:b w:val="0"/>
                <w:i w:val="0"/>
                <w:sz w:val="18"/>
                <w:szCs w:val="18"/>
              </w:rPr>
              <w:t>Their data or services affected, or contract requires</w:t>
            </w:r>
          </w:p>
        </w:tc>
        <w:tc>
          <w:tcPr>
            <w:tcW w:type="dxa" w:w="1871"/>
          </w:tcPr>
          <w:p>
            <w:r/>
            <w:r>
              <w:rPr>
                <w:rFonts w:ascii="Calibri" w:hAnsi="Calibri" w:cs="Calibri" w:eastAsia="Calibri"/>
                <w:b w:val="0"/>
                <w:i w:val="0"/>
                <w:sz w:val="18"/>
                <w:szCs w:val="18"/>
              </w:rPr>
              <w:t>Per contract</w:t>
            </w:r>
          </w:p>
        </w:tc>
        <w:tc>
          <w:tcPr>
            <w:tcW w:type="dxa" w:w="1871"/>
          </w:tcPr>
          <w:p>
            <w:r/>
            <w:r>
              <w:rPr>
                <w:rFonts w:ascii="Calibri" w:hAnsi="Calibri" w:cs="Calibri" w:eastAsia="Calibri"/>
                <w:b w:val="0"/>
                <w:i w:val="0"/>
                <w:sz w:val="18"/>
                <w:szCs w:val="18"/>
              </w:rPr>
              <w:t>Business owner, Legal Counsel</w:t>
            </w:r>
          </w:p>
        </w:tc>
        <w:tc>
          <w:tcPr>
            <w:tcW w:type="dxa" w:w="1871"/>
          </w:tcPr>
          <w:p>
            <w:r/>
            <w:r>
              <w:rPr>
                <w:rFonts w:ascii="Calibri" w:hAnsi="Calibri" w:cs="Calibri" w:eastAsia="Calibri"/>
                <w:b w:val="0"/>
                <w:i w:val="0"/>
                <w:sz w:val="18"/>
                <w:szCs w:val="18"/>
              </w:rPr>
              <w:t>Formal letter</w:t>
            </w:r>
          </w:p>
        </w:tc>
      </w:tr>
      <w:tr>
        <w:tc>
          <w:tcPr>
            <w:tcW w:type="dxa" w:w="1871"/>
          </w:tcPr>
          <w:p>
            <w:r/>
            <w:r>
              <w:rPr>
                <w:rFonts w:ascii="Calibri" w:hAnsi="Calibri" w:cs="Calibri" w:eastAsia="Calibri"/>
                <w:b w:val="0"/>
                <w:i w:val="0"/>
                <w:sz w:val="18"/>
                <w:szCs w:val="18"/>
              </w:rPr>
              <w:t>Insurer</w:t>
            </w:r>
          </w:p>
        </w:tc>
        <w:tc>
          <w:tcPr>
            <w:tcW w:type="dxa" w:w="1871"/>
          </w:tcPr>
          <w:p>
            <w:r/>
            <w:r>
              <w:rPr>
                <w:rFonts w:ascii="Calibri" w:hAnsi="Calibri" w:cs="Calibri" w:eastAsia="Calibri"/>
                <w:b w:val="0"/>
                <w:i w:val="0"/>
                <w:sz w:val="18"/>
                <w:szCs w:val="18"/>
              </w:rPr>
              <w:t>Policy notice condition</w:t>
            </w:r>
          </w:p>
        </w:tc>
        <w:tc>
          <w:tcPr>
            <w:tcW w:type="dxa" w:w="1871"/>
          </w:tcPr>
          <w:p>
            <w:r/>
            <w:r>
              <w:rPr>
                <w:rFonts w:ascii="Calibri" w:hAnsi="Calibri" w:cs="Calibri" w:eastAsia="Calibri"/>
                <w:b w:val="0"/>
                <w:i w:val="0"/>
                <w:sz w:val="18"/>
                <w:szCs w:val="18"/>
              </w:rPr>
              <w:t>Per policy</w:t>
            </w:r>
          </w:p>
        </w:tc>
        <w:tc>
          <w:tcPr>
            <w:tcW w:type="dxa" w:w="1871"/>
          </w:tcPr>
          <w:p>
            <w:r/>
            <w:r>
              <w:rPr>
                <w:rFonts w:ascii="Calibri" w:hAnsi="Calibri" w:cs="Calibri" w:eastAsia="Calibri"/>
                <w:b w:val="0"/>
                <w:i w:val="0"/>
                <w:sz w:val="18"/>
                <w:szCs w:val="18"/>
              </w:rPr>
              <w:t>Chief Financial Officer (CFO)</w:t>
            </w:r>
          </w:p>
        </w:tc>
        <w:tc>
          <w:tcPr>
            <w:tcW w:type="dxa" w:w="1871"/>
          </w:tcPr>
          <w:p>
            <w:r/>
            <w:r>
              <w:rPr>
                <w:rFonts w:ascii="Calibri" w:hAnsi="Calibri" w:cs="Calibri" w:eastAsia="Calibri"/>
                <w:b w:val="0"/>
                <w:i w:val="0"/>
                <w:sz w:val="18"/>
                <w:szCs w:val="18"/>
              </w:rPr>
              <w:t>Per policy</w:t>
            </w:r>
          </w:p>
        </w:tc>
      </w:tr>
      <w:tr>
        <w:tc>
          <w:tcPr>
            <w:tcW w:type="dxa" w:w="1871"/>
          </w:tcPr>
          <w:p>
            <w:r/>
            <w:r>
              <w:rPr>
                <w:rFonts w:ascii="Calibri" w:hAnsi="Calibri" w:cs="Calibri" w:eastAsia="Calibri"/>
                <w:b w:val="0"/>
                <w:i w:val="0"/>
                <w:sz w:val="18"/>
                <w:szCs w:val="18"/>
              </w:rPr>
              <w:t>Police</w:t>
            </w:r>
          </w:p>
        </w:tc>
        <w:tc>
          <w:tcPr>
            <w:tcW w:type="dxa" w:w="1871"/>
          </w:tcPr>
          <w:p>
            <w:r/>
            <w:r>
              <w:rPr>
                <w:rFonts w:ascii="Calibri" w:hAnsi="Calibri" w:cs="Calibri" w:eastAsia="Calibri"/>
                <w:b w:val="0"/>
                <w:i w:val="0"/>
                <w:sz w:val="18"/>
                <w:szCs w:val="18"/>
              </w:rPr>
              <w:t>Crime suspected</w:t>
            </w:r>
          </w:p>
        </w:tc>
        <w:tc>
          <w:tcPr>
            <w:tcW w:type="dxa" w:w="1871"/>
          </w:tcPr>
          <w:p>
            <w:r/>
            <w:r>
              <w:rPr>
                <w:rFonts w:ascii="Calibri" w:hAnsi="Calibri" w:cs="Calibri" w:eastAsia="Calibri"/>
                <w:b w:val="0"/>
                <w:i w:val="0"/>
                <w:sz w:val="18"/>
                <w:szCs w:val="18"/>
              </w:rPr>
              <w:t>As advised by Legal Counsel</w:t>
            </w:r>
          </w:p>
        </w:tc>
        <w:tc>
          <w:tcPr>
            <w:tcW w:type="dxa" w:w="1871"/>
          </w:tcPr>
          <w:p>
            <w:r/>
            <w:r>
              <w:rPr>
                <w:rFonts w:ascii="Calibri" w:hAnsi="Calibri" w:cs="Calibri" w:eastAsia="Calibri"/>
                <w:b w:val="0"/>
                <w:i w:val="0"/>
                <w:sz w:val="18"/>
                <w:szCs w:val="18"/>
              </w:rPr>
              <w:t>Legal Counsel</w:t>
            </w:r>
          </w:p>
        </w:tc>
        <w:tc>
          <w:tcPr>
            <w:tcW w:type="dxa" w:w="1871"/>
          </w:tcPr>
          <w:p>
            <w:r/>
            <w:r>
              <w:rPr>
                <w:rFonts w:ascii="Calibri" w:hAnsi="Calibri" w:cs="Calibri" w:eastAsia="Calibri"/>
                <w:b w:val="0"/>
                <w:i w:val="0"/>
                <w:sz w:val="18"/>
                <w:szCs w:val="18"/>
              </w:rPr>
              <w:t>Police report</w:t>
            </w:r>
          </w:p>
        </w:tc>
      </w:tr>
    </w:tbl>
    <w:p>
      <w:pPr>
        <w:spacing w:after="40"/>
      </w:pPr>
    </w:p>
    <w:p>
      <w:pPr>
        <w:pStyle w:val="Heading2"/>
        <w:keepNext/>
        <w:spacing w:before="120" w:after="80"/>
      </w:pPr>
      <w:r>
        <w:rPr>
          <w:rFonts w:ascii="Calibri" w:hAnsi="Calibri" w:cs="Calibri" w:eastAsia="Calibri"/>
          <w:b/>
          <w:i w:val="0"/>
          <w:color w:val="1F3864"/>
          <w:sz w:val="24"/>
          <w:szCs w:val="24"/>
          <w:bCs/>
        </w:rPr>
        <w:t>4.4 Approval of External Messages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who approves external messages.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Regulatory notifications are prepared by the Data Protection Officer (DPO) or Security Manager, reviewed by Legal Counsel, and approved by the Chief Executive Officer (CEO) or delegate. Public statements follow the Crisis Communication Procedure (RC-PRC-002). Night and weekend approval follows the delegation in RS-PLN-001.</w:t>
      </w:r>
    </w:p>
    <w:p>
      <w:pPr>
        <w:pStyle w:val="Heading2"/>
        <w:keepNext/>
        <w:spacing w:before="120" w:after="80"/>
      </w:pPr>
      <w:r>
        <w:rPr>
          <w:rFonts w:ascii="Calibri" w:hAnsi="Calibri" w:cs="Calibri" w:eastAsia="Calibri"/>
          <w:b/>
          <w:i w:val="0"/>
          <w:color w:val="1F3864"/>
          <w:sz w:val="24"/>
          <w:szCs w:val="24"/>
          <w:bCs/>
        </w:rPr>
        <w:t>4.5 Records Produced</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List the forms, records, and registers this process produces and where they are kept.</w:t>
            </w:r>
          </w:p>
        </w:tc>
      </w:tr>
    </w:tbl>
    <w:p>
      <w:pPr>
        <w:spacing w:after="0"/>
      </w:pPr>
    </w:p>
    <w:p>
      <w:pPr>
        <w:spacing w:after="40" w:before="0"/>
      </w:pPr>
      <w:r>
        <w:rPr>
          <w:rFonts w:ascii="Calibri" w:hAnsi="Calibri" w:cs="Calibri" w:eastAsia="Calibri"/>
          <w:b w:val="0"/>
          <w:i/>
          <w:color w:val="595959"/>
          <w:sz w:val="18"/>
          <w:szCs w:val="18"/>
        </w:rPr>
        <w:t>Sample content</w:t>
      </w:r>
    </w:p>
    <w:p>
      <w:pPr>
        <w:pStyle w:val="ListBullet"/>
        <w:spacing w:after="40"/>
      </w:pPr>
      <w:r>
        <w:rPr>
          <w:rFonts w:ascii="Calibri" w:hAnsi="Calibri" w:cs="Calibri" w:eastAsia="Calibri"/>
          <w:b w:val="0"/>
          <w:i w:val="0"/>
          <w:sz w:val="21"/>
          <w:szCs w:val="21"/>
        </w:rPr>
        <w:t>RS-TPL-002: Regulatory Notification Templates</w:t>
      </w:r>
    </w:p>
    <w:p>
      <w:pPr>
        <w:pStyle w:val="ListBullet"/>
        <w:spacing w:after="40"/>
      </w:pPr>
      <w:r>
        <w:rPr>
          <w:rFonts w:ascii="Calibri" w:hAnsi="Calibri" w:cs="Calibri" w:eastAsia="Calibri"/>
          <w:b w:val="0"/>
          <w:i w:val="0"/>
          <w:sz w:val="21"/>
          <w:szCs w:val="21"/>
        </w:rPr>
        <w:t>Records are retained according to the Data Retention and Disposal Standard (PR-STD-007).</w:t>
      </w: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Pre-register with regulator portals and keep credentials available offline.</w:t>
      </w:r>
    </w:p>
    <w:p>
      <w:pPr>
        <w:pStyle w:val="ListBullet"/>
        <w:spacing w:after="40"/>
      </w:pPr>
      <w:r>
        <w:rPr>
          <w:rFonts w:ascii="Calibri" w:hAnsi="Calibri" w:cs="Calibri" w:eastAsia="Calibri"/>
          <w:b w:val="0"/>
          <w:i w:val="0"/>
          <w:sz w:val="21"/>
          <w:szCs w:val="21"/>
        </w:rPr>
        <w:t>Keep notifications factual and update them as the investigation progresses.</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Different teams send inconsistent messages to the PDPC and NCSA.</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RS.CO-02: Internal and external stakeholders are notified of incidents</w:t>
            </w:r>
          </w:p>
          <w:p>
            <w:r>
              <w:rPr>
                <w:rFonts w:ascii="Calibri" w:hAnsi="Calibri" w:cs="Calibri" w:eastAsia="Calibri"/>
                <w:b w:val="0"/>
                <w:i w:val="0"/>
                <w:sz w:val="18"/>
                <w:szCs w:val="18"/>
              </w:rPr>
              <w:t>RS.CO-03: Information is shared with designated internal and external stakeholders</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A.5.5, Annex A.5.24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IR-6, IR-7</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PDPA s.37(4) (notify the PDPC within 72 hours); CSA s.57 and s.58; CRC Notification on CII duties 2024 [VERIFY]</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RS-PLN-001: Cybersecurity Incident Response Plan</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RS-TPL-002: Regulatory Notification Templates</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RS-PRC-003  |  Incident Notification and Communication Procedure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