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Regulatory Notification Templates</w:t>
      </w:r>
    </w:p>
    <w:p>
      <w:pPr>
        <w:spacing w:after="80" w:before="0"/>
      </w:pPr>
      <w:r>
        <w:rPr>
          <w:rFonts w:ascii="Calibri" w:hAnsi="Calibri" w:cs="Calibri" w:eastAsia="Calibri"/>
          <w:b w:val="0"/>
          <w:i w:val="0"/>
          <w:color w:val="595959"/>
          <w:sz w:val="18"/>
          <w:szCs w:val="18"/>
        </w:rPr>
        <w:t>RS-TPL-002  |  Template  |  Incident Response Reporting and Communication (RS.CO)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RS-TPL-002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Regulatory Notification Templates</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22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22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Response Reporting and Communication (RS.CO)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s.37(4); CSA s.57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7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22 July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These templates provide pre-approved text for notifying the PDPC, NCSA or sector regulators, and affected individuals, so notifications are complete and fast.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(RS-PRC-003) and covers the activities that document defines.</w:t>
      </w:r>
    </w:p>
    <w:p>
      <w:pPr>
        <w:pStyle w:val="Heading2"/>
        <w:keepNext/>
        <w:spacing w:before="120" w:after="80"/>
      </w:pPr>
      <w:r>
        <w:rPr>
          <w:rFonts w:ascii="Calibri" w:hAnsi="Calibri" w:cs="Calibri" w:eastAsia="Calibri"/>
          <w:b/>
          <w:i w:val="0"/>
          <w:color w:val="1F3864"/>
          <w:sz w:val="24"/>
          <w:szCs w:val="24"/>
          <w:bCs/>
        </w:rPr>
        <w:t>4.3 PDPC Breach Notification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fields required for PDPC notification. [VERIFY against the current PDPC notification and e-service form.]</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969"/>
        <w:gridCol w:w="5386"/>
      </w:tblGrid>
      <w:tr>
        <w:trPr>
          <w:tblHeader w:val="true"/>
        </w:trPr>
        <w:tc>
          <w:tcPr>
            <w:tcW w:type="dxa" w:w="3969"/>
            <w:shd w:val="clear" w:color="auto" w:fill="1F3864"/>
          </w:tcPr>
          <w:p>
            <w:r/>
            <w:r>
              <w:rPr>
                <w:rFonts w:ascii="Calibri" w:hAnsi="Calibri" w:cs="Calibri" w:eastAsia="Calibri"/>
                <w:b/>
                <w:i w:val="0"/>
                <w:color w:val="FFFFFF"/>
                <w:sz w:val="18"/>
                <w:szCs w:val="18"/>
                <w:bCs/>
              </w:rPr>
              <w:t>Field</w:t>
            </w:r>
          </w:p>
        </w:tc>
        <w:tc>
          <w:tcPr>
            <w:tcW w:type="dxa" w:w="5386"/>
            <w:shd w:val="clear" w:color="auto" w:fill="1F3864"/>
          </w:tcPr>
          <w:p>
            <w:r/>
            <w:r>
              <w:rPr>
                <w:rFonts w:ascii="Calibri" w:hAnsi="Calibri" w:cs="Calibri" w:eastAsia="Calibri"/>
                <w:b/>
                <w:i w:val="0"/>
                <w:color w:val="FFFFFF"/>
                <w:sz w:val="18"/>
                <w:szCs w:val="18"/>
                <w:bCs/>
              </w:rPr>
              <w:t>Content</w:t>
            </w:r>
          </w:p>
        </w:tc>
      </w:tr>
      <w:tr>
        <w:tc>
          <w:tcPr>
            <w:tcW w:type="dxa" w:w="3969"/>
          </w:tcPr>
          <w:p>
            <w:r/>
            <w:r>
              <w:rPr>
                <w:rFonts w:ascii="Calibri" w:hAnsi="Calibri" w:cs="Calibri" w:eastAsia="Calibri"/>
                <w:b w:val="0"/>
                <w:i w:val="0"/>
                <w:sz w:val="18"/>
                <w:szCs w:val="18"/>
              </w:rPr>
              <w:t>Controller and DPO contact</w:t>
            </w:r>
          </w:p>
        </w:tc>
        <w:tc>
          <w:tcPr>
            <w:tcW w:type="dxa" w:w="5386"/>
          </w:tcPr>
          <w:p>
            <w:r/>
          </w:p>
        </w:tc>
      </w:tr>
      <w:tr>
        <w:tc>
          <w:tcPr>
            <w:tcW w:type="dxa" w:w="3969"/>
          </w:tcPr>
          <w:p>
            <w:r/>
            <w:r>
              <w:rPr>
                <w:rFonts w:ascii="Calibri" w:hAnsi="Calibri" w:cs="Calibri" w:eastAsia="Calibri"/>
                <w:b w:val="0"/>
                <w:i w:val="0"/>
                <w:sz w:val="18"/>
                <w:szCs w:val="18"/>
              </w:rPr>
              <w:t>Date and time of breach and of awareness</w:t>
            </w:r>
          </w:p>
        </w:tc>
        <w:tc>
          <w:tcPr>
            <w:tcW w:type="dxa" w:w="5386"/>
          </w:tcPr>
          <w:p>
            <w:r/>
          </w:p>
        </w:tc>
      </w:tr>
      <w:tr>
        <w:tc>
          <w:tcPr>
            <w:tcW w:type="dxa" w:w="3969"/>
          </w:tcPr>
          <w:p>
            <w:r/>
            <w:r>
              <w:rPr>
                <w:rFonts w:ascii="Calibri" w:hAnsi="Calibri" w:cs="Calibri" w:eastAsia="Calibri"/>
                <w:b w:val="0"/>
                <w:i w:val="0"/>
                <w:sz w:val="18"/>
                <w:szCs w:val="18"/>
              </w:rPr>
              <w:t>Nature of breach</w:t>
            </w:r>
          </w:p>
        </w:tc>
        <w:tc>
          <w:tcPr>
            <w:tcW w:type="dxa" w:w="5386"/>
          </w:tcPr>
          <w:p>
            <w:r/>
          </w:p>
        </w:tc>
      </w:tr>
      <w:tr>
        <w:tc>
          <w:tcPr>
            <w:tcW w:type="dxa" w:w="3969"/>
          </w:tcPr>
          <w:p>
            <w:r/>
            <w:r>
              <w:rPr>
                <w:rFonts w:ascii="Calibri" w:hAnsi="Calibri" w:cs="Calibri" w:eastAsia="Calibri"/>
                <w:b w:val="0"/>
                <w:i w:val="0"/>
                <w:sz w:val="18"/>
                <w:szCs w:val="18"/>
              </w:rPr>
              <w:t>Categories and approximate number of data subjects and records</w:t>
            </w:r>
          </w:p>
        </w:tc>
        <w:tc>
          <w:tcPr>
            <w:tcW w:type="dxa" w:w="5386"/>
          </w:tcPr>
          <w:p>
            <w:r/>
          </w:p>
        </w:tc>
      </w:tr>
      <w:tr>
        <w:tc>
          <w:tcPr>
            <w:tcW w:type="dxa" w:w="3969"/>
          </w:tcPr>
          <w:p>
            <w:r/>
            <w:r>
              <w:rPr>
                <w:rFonts w:ascii="Calibri" w:hAnsi="Calibri" w:cs="Calibri" w:eastAsia="Calibri"/>
                <w:b w:val="0"/>
                <w:i w:val="0"/>
                <w:sz w:val="18"/>
                <w:szCs w:val="18"/>
              </w:rPr>
              <w:t>Likely consequences</w:t>
            </w:r>
          </w:p>
        </w:tc>
        <w:tc>
          <w:tcPr>
            <w:tcW w:type="dxa" w:w="5386"/>
          </w:tcPr>
          <w:p>
            <w:r/>
          </w:p>
        </w:tc>
      </w:tr>
      <w:tr>
        <w:tc>
          <w:tcPr>
            <w:tcW w:type="dxa" w:w="3969"/>
          </w:tcPr>
          <w:p>
            <w:r/>
            <w:r>
              <w:rPr>
                <w:rFonts w:ascii="Calibri" w:hAnsi="Calibri" w:cs="Calibri" w:eastAsia="Calibri"/>
                <w:b w:val="0"/>
                <w:i w:val="0"/>
                <w:sz w:val="18"/>
                <w:szCs w:val="18"/>
              </w:rPr>
              <w:t>Measures taken and planned</w:t>
            </w:r>
          </w:p>
        </w:tc>
        <w:tc>
          <w:tcPr>
            <w:tcW w:type="dxa" w:w="5386"/>
          </w:tcPr>
          <w:p>
            <w:r/>
          </w:p>
        </w:tc>
      </w:tr>
      <w:tr>
        <w:tc>
          <w:tcPr>
            <w:tcW w:type="dxa" w:w="3969"/>
          </w:tcPr>
          <w:p>
            <w:r/>
            <w:r>
              <w:rPr>
                <w:rFonts w:ascii="Calibri" w:hAnsi="Calibri" w:cs="Calibri" w:eastAsia="Calibri"/>
                <w:b w:val="0"/>
                <w:i w:val="0"/>
                <w:sz w:val="18"/>
                <w:szCs w:val="18"/>
              </w:rPr>
              <w:t>Whether data subjects were or will be notified</w:t>
            </w:r>
          </w:p>
        </w:tc>
        <w:tc>
          <w:tcPr>
            <w:tcW w:type="dxa" w:w="5386"/>
          </w:tcPr>
          <w:p>
            <w:r/>
          </w:p>
        </w:tc>
      </w:tr>
    </w:tbl>
    <w:p>
      <w:pPr>
        <w:spacing w:after="40"/>
      </w:pPr>
    </w:p>
    <w:p>
      <w:pPr>
        <w:pStyle w:val="Heading2"/>
        <w:keepNext/>
        <w:spacing w:before="120" w:after="80"/>
      </w:pPr>
      <w:r>
        <w:rPr>
          <w:rFonts w:ascii="Calibri" w:hAnsi="Calibri" w:cs="Calibri" w:eastAsia="Calibri"/>
          <w:b/>
          <w:i w:val="0"/>
          <w:color w:val="1F3864"/>
          <w:sz w:val="24"/>
          <w:szCs w:val="24"/>
          <w:bCs/>
        </w:rPr>
        <w:t>4.4 Notice to Affected Individuals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a plain-language notice template.</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Dear Patient,</w:t>
      </w:r>
    </w:p>
    <w:p>
      <w:pPr>
        <w:spacing w:after="80" w:before="0"/>
      </w:pPr>
      <w:r>
        <w:rPr>
          <w:rFonts w:ascii="Calibri" w:hAnsi="Calibri" w:cs="Calibri" w:eastAsia="Calibri"/>
          <w:b w:val="0"/>
          <w:i w:val="0"/>
          <w:sz w:val="21"/>
          <w:szCs w:val="21"/>
        </w:rPr>
        <w:t>We are writing to inform you of an incident that affected your personal information. On [date], CMC discovered that [brief description]. The information involved includes [data types]. CMC has [actions taken]. We recommend that you [protective steps]. If you have questions, please contact the CMC Data Protection Officer at dpo@cmc.example or 02-000-0000 ext. 1234. We sincerely apologize.</w:t>
      </w:r>
    </w:p>
    <w:p>
      <w:pPr>
        <w:spacing w:after="80" w:before="0"/>
      </w:pPr>
      <w:r>
        <w:rPr>
          <w:rFonts w:ascii="Calibri" w:hAnsi="Calibri" w:cs="Calibri" w:eastAsia="Calibri"/>
          <w:b w:val="0"/>
          <w:i w:val="0"/>
          <w:sz w:val="21"/>
          <w:szCs w:val="21"/>
        </w:rPr>
        <w:t>Chief Executive Officer, Chaophraya Medical Center</w:t>
      </w:r>
    </w:p>
    <w:p>
      <w:pPr>
        <w:pStyle w:val="Heading2"/>
        <w:keepNext/>
        <w:spacing w:before="120" w:after="80"/>
      </w:pPr>
      <w:r>
        <w:rPr>
          <w:rFonts w:ascii="Calibri" w:hAnsi="Calibri" w:cs="Calibri" w:eastAsia="Calibri"/>
          <w:b/>
          <w:i w:val="0"/>
          <w:color w:val="1F3864"/>
          <w:sz w:val="24"/>
          <w:szCs w:val="24"/>
          <w:bCs/>
        </w:rPr>
        <w:t>4.5 NCSA and Regulator Incident Report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fields for CII incident reports. [VERIFY current NCSA form.]</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Organization, CII sector, and contact officer.</w:t>
      </w:r>
    </w:p>
    <w:p>
      <w:pPr>
        <w:pStyle w:val="ListBullet"/>
        <w:spacing w:after="40"/>
      </w:pPr>
      <w:r>
        <w:rPr>
          <w:rFonts w:ascii="Calibri" w:hAnsi="Calibri" w:cs="Calibri" w:eastAsia="Calibri"/>
          <w:b w:val="0"/>
          <w:i w:val="0"/>
          <w:sz w:val="21"/>
          <w:szCs w:val="21"/>
        </w:rPr>
        <w:t>Date and time of detection.</w:t>
      </w:r>
    </w:p>
    <w:p>
      <w:pPr>
        <w:pStyle w:val="ListBullet"/>
        <w:spacing w:after="40"/>
      </w:pPr>
      <w:r>
        <w:rPr>
          <w:rFonts w:ascii="Calibri" w:hAnsi="Calibri" w:cs="Calibri" w:eastAsia="Calibri"/>
          <w:b w:val="0"/>
          <w:i w:val="0"/>
          <w:sz w:val="21"/>
          <w:szCs w:val="21"/>
        </w:rPr>
        <w:t>Type of threat and affected systems.</w:t>
      </w:r>
    </w:p>
    <w:p>
      <w:pPr>
        <w:pStyle w:val="ListBullet"/>
        <w:spacing w:after="40"/>
      </w:pPr>
      <w:r>
        <w:rPr>
          <w:rFonts w:ascii="Calibri" w:hAnsi="Calibri" w:cs="Calibri" w:eastAsia="Calibri"/>
          <w:b w:val="0"/>
          <w:i w:val="0"/>
          <w:sz w:val="21"/>
          <w:szCs w:val="21"/>
        </w:rPr>
        <w:t>Impact on critical services.</w:t>
      </w:r>
    </w:p>
    <w:p>
      <w:pPr>
        <w:pStyle w:val="ListBullet"/>
        <w:spacing w:after="40"/>
      </w:pPr>
      <w:r>
        <w:rPr>
          <w:rFonts w:ascii="Calibri" w:hAnsi="Calibri" w:cs="Calibri" w:eastAsia="Calibri"/>
          <w:b w:val="0"/>
          <w:i w:val="0"/>
          <w:sz w:val="21"/>
          <w:szCs w:val="21"/>
        </w:rPr>
        <w:t>Actions taken and assistance requested.</w:t>
      </w:r>
    </w:p>
    <w:p>
      <w:pPr>
        <w:pStyle w:val="ListBullet"/>
        <w:spacing w:after="40"/>
      </w:pPr>
      <w:r>
        <w:rPr>
          <w:rFonts w:ascii="Calibri" w:hAnsi="Calibri" w:cs="Calibri" w:eastAsia="Calibri"/>
          <w:b w:val="0"/>
          <w:i w:val="0"/>
          <w:sz w:val="21"/>
          <w:szCs w:val="21"/>
        </w:rPr>
        <w:t>Next update time.</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Pre-approve templates with Legal so only incident facts need to be added under time pressure.</w:t>
      </w:r>
    </w:p>
    <w:p>
      <w:pPr>
        <w:pStyle w:val="ListBullet"/>
        <w:spacing w:after="40"/>
      </w:pPr>
      <w:r>
        <w:rPr>
          <w:rFonts w:ascii="Calibri" w:hAnsi="Calibri" w:cs="Calibri" w:eastAsia="Calibri"/>
          <w:b w:val="0"/>
          <w:i w:val="0"/>
          <w:sz w:val="21"/>
          <w:szCs w:val="21"/>
        </w:rPr>
        <w:t>Prepare Thai and English versions.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Speculating about causes or attackers in regulatory notices before facts are confirmed.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s.37(4); CSA s.57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RS-PRC-003: Incident Notification and Communication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RS-TPL-002  |  Regulatory Notification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