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Ransomware Response Playbook</w:t>
      </w:r>
    </w:p>
    <w:p>
      <w:pPr>
        <w:spacing w:after="80" w:before="0"/>
      </w:pPr>
      <w:r>
        <w:rPr>
          <w:rFonts w:ascii="Calibri" w:hAnsi="Calibri" w:cs="Calibri" w:eastAsia="Calibri"/>
          <w:b w:val="0"/>
          <w:i w:val="0"/>
          <w:color w:val="595959"/>
          <w:sz w:val="18"/>
          <w:szCs w:val="18"/>
        </w:rPr>
        <w:t>RS-PLB-001  |  Playbook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RS-PLB-001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Ransomware Response Playbook</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9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9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Playbook</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800-61 Rev. 3; NIST IR 8374 (Ransomware Risk Management)</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11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9 September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gives specific actions for responding to ransomware, from first alert to safe recovery, including decisions that must be made by executives (RS.MI-01, RS.MI-02, RC.RP-03).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playbook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First Hour Actions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immediate actions in order.</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MSSP calls the Security Manager; Security Manager declares SEV-1 and calls the CEO and Medical Director.</w:t>
      </w:r>
    </w:p>
    <w:p>
      <w:pPr>
        <w:pStyle w:val="ListNumber"/>
        <w:spacing w:after="40"/>
      </w:pPr>
      <w:r>
        <w:rPr>
          <w:rFonts w:ascii="Calibri" w:hAnsi="Calibri" w:cs="Calibri" w:eastAsia="Calibri"/>
          <w:b w:val="0"/>
          <w:i w:val="0"/>
          <w:sz w:val="21"/>
          <w:szCs w:val="21"/>
        </w:rPr>
        <w:t>MSSP isolates affected servers through EDR; HIS database servers are isolated only after the Medical Director confirms downtime procedures are active.</w:t>
      </w:r>
    </w:p>
    <w:p>
      <w:pPr>
        <w:pStyle w:val="ListNumber"/>
        <w:spacing w:after="40"/>
      </w:pPr>
      <w:r>
        <w:rPr>
          <w:rFonts w:ascii="Calibri" w:hAnsi="Calibri" w:cs="Calibri" w:eastAsia="Calibri"/>
          <w:b w:val="0"/>
          <w:i w:val="0"/>
          <w:sz w:val="21"/>
          <w:szCs w:val="21"/>
        </w:rPr>
        <w:t>IT disables affected accounts and resets domain admin credentials from the PAM jump host.</w:t>
      </w:r>
    </w:p>
    <w:p>
      <w:pPr>
        <w:pStyle w:val="ListNumber"/>
        <w:spacing w:after="40"/>
      </w:pPr>
      <w:r>
        <w:rPr>
          <w:rFonts w:ascii="Calibri" w:hAnsi="Calibri" w:cs="Calibri" w:eastAsia="Calibri"/>
          <w:b w:val="0"/>
          <w:i w:val="0"/>
          <w:sz w:val="21"/>
          <w:szCs w:val="21"/>
        </w:rPr>
        <w:t>Network team blocks indicators; internet access restricted to essential clinical services.</w:t>
      </w:r>
    </w:p>
    <w:p>
      <w:pPr>
        <w:pStyle w:val="ListNumber"/>
        <w:spacing w:after="40"/>
      </w:pPr>
      <w:r>
        <w:rPr>
          <w:rFonts w:ascii="Calibri" w:hAnsi="Calibri" w:cs="Calibri" w:eastAsia="Calibri"/>
          <w:b w:val="0"/>
          <w:i w:val="0"/>
          <w:sz w:val="21"/>
          <w:szCs w:val="21"/>
        </w:rPr>
        <w:t>IT Infrastructure Manager confirms immutable HIS, PACS, and LIS backups are intact.</w:t>
      </w:r>
    </w:p>
    <w:p>
      <w:pPr>
        <w:pStyle w:val="ListNumber"/>
        <w:spacing w:after="40"/>
      </w:pPr>
      <w:r>
        <w:rPr>
          <w:rFonts w:ascii="Calibri" w:hAnsi="Calibri" w:cs="Calibri" w:eastAsia="Calibri"/>
          <w:b w:val="0"/>
          <w:i w:val="0"/>
          <w:sz w:val="21"/>
          <w:szCs w:val="21"/>
        </w:rPr>
        <w:t>Nursing supervisors activate paper downtime kits on all wards; Emergency Department considers ambulance diversion with the CEO.</w:t>
      </w:r>
    </w:p>
    <w:p>
      <w:pPr>
        <w:pStyle w:val="ListNumber"/>
        <w:spacing w:after="40"/>
      </w:pPr>
      <w:r>
        <w:rPr>
          <w:rFonts w:ascii="Calibri" w:hAnsi="Calibri" w:cs="Calibri" w:eastAsia="Calibri"/>
          <w:b w:val="0"/>
          <w:i w:val="0"/>
          <w:sz w:val="21"/>
          <w:szCs w:val="21"/>
        </w:rPr>
        <w:t>IR retainer engaged; on site within 4 hours.</w:t>
      </w:r>
    </w:p>
    <w:p>
      <w:pPr>
        <w:pStyle w:val="Heading2"/>
        <w:keepNext/>
        <w:spacing w:before="120" w:after="80"/>
      </w:pPr>
      <w:r>
        <w:rPr>
          <w:rFonts w:ascii="Calibri" w:hAnsi="Calibri" w:cs="Calibri" w:eastAsia="Calibri"/>
          <w:b/>
          <w:i w:val="0"/>
          <w:color w:val="1F3864"/>
          <w:sz w:val="24"/>
          <w:szCs w:val="24"/>
          <w:bCs/>
        </w:rPr>
        <w:t>4.4 Executive Decisions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decisions reserved for executives with the criteria.</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2551"/>
        <w:gridCol w:w="3685"/>
      </w:tblGrid>
      <w:tr>
        <w:trPr>
          <w:tblHeader w:val="true"/>
        </w:trPr>
        <w:tc>
          <w:tcPr>
            <w:tcW w:type="dxa" w:w="3118"/>
            <w:shd w:val="clear" w:color="auto" w:fill="1F3864"/>
          </w:tcPr>
          <w:p>
            <w:r/>
            <w:r>
              <w:rPr>
                <w:rFonts w:ascii="Calibri" w:hAnsi="Calibri" w:cs="Calibri" w:eastAsia="Calibri"/>
                <w:b/>
                <w:i w:val="0"/>
                <w:color w:val="FFFFFF"/>
                <w:sz w:val="18"/>
                <w:szCs w:val="18"/>
                <w:bCs/>
              </w:rPr>
              <w:t>Decision</w:t>
            </w:r>
          </w:p>
        </w:tc>
        <w:tc>
          <w:tcPr>
            <w:tcW w:type="dxa" w:w="2551"/>
            <w:shd w:val="clear" w:color="auto" w:fill="1F3864"/>
          </w:tcPr>
          <w:p>
            <w:r/>
            <w:r>
              <w:rPr>
                <w:rFonts w:ascii="Calibri" w:hAnsi="Calibri" w:cs="Calibri" w:eastAsia="Calibri"/>
                <w:b/>
                <w:i w:val="0"/>
                <w:color w:val="FFFFFF"/>
                <w:sz w:val="18"/>
                <w:szCs w:val="18"/>
                <w:bCs/>
              </w:rPr>
              <w:t>Decision maker</w:t>
            </w:r>
          </w:p>
        </w:tc>
        <w:tc>
          <w:tcPr>
            <w:tcW w:type="dxa" w:w="3685"/>
            <w:shd w:val="clear" w:color="auto" w:fill="1F3864"/>
          </w:tcPr>
          <w:p>
            <w:r/>
            <w:r>
              <w:rPr>
                <w:rFonts w:ascii="Calibri" w:hAnsi="Calibri" w:cs="Calibri" w:eastAsia="Calibri"/>
                <w:b/>
                <w:i w:val="0"/>
                <w:color w:val="FFFFFF"/>
                <w:sz w:val="18"/>
                <w:szCs w:val="18"/>
                <w:bCs/>
              </w:rPr>
              <w:t>Inputs</w:t>
            </w:r>
          </w:p>
        </w:tc>
      </w:tr>
      <w:tr>
        <w:tc>
          <w:tcPr>
            <w:tcW w:type="dxa" w:w="3118"/>
          </w:tcPr>
          <w:p>
            <w:r/>
            <w:r>
              <w:rPr>
                <w:rFonts w:ascii="Calibri" w:hAnsi="Calibri" w:cs="Calibri" w:eastAsia="Calibri"/>
                <w:b w:val="0"/>
                <w:i w:val="0"/>
                <w:sz w:val="18"/>
                <w:szCs w:val="18"/>
              </w:rPr>
              <w:t>Shut down a critical service or the whole network</w:t>
            </w:r>
          </w:p>
        </w:tc>
        <w:tc>
          <w:tcPr>
            <w:tcW w:type="dxa" w:w="2551"/>
          </w:tcPr>
          <w:p>
            <w:r/>
            <w:r>
              <w:rPr>
                <w:rFonts w:ascii="Calibri" w:hAnsi="Calibri" w:cs="Calibri" w:eastAsia="Calibri"/>
                <w:b w:val="0"/>
                <w:i w:val="0"/>
                <w:sz w:val="18"/>
                <w:szCs w:val="18"/>
              </w:rPr>
              <w:t>Chief Executive Officer (CEO)</w:t>
            </w:r>
          </w:p>
        </w:tc>
        <w:tc>
          <w:tcPr>
            <w:tcW w:type="dxa" w:w="3685"/>
          </w:tcPr>
          <w:p>
            <w:r/>
            <w:r>
              <w:rPr>
                <w:rFonts w:ascii="Calibri" w:hAnsi="Calibri" w:cs="Calibri" w:eastAsia="Calibri"/>
                <w:b w:val="0"/>
                <w:i w:val="0"/>
                <w:sz w:val="18"/>
                <w:szCs w:val="18"/>
              </w:rPr>
              <w:t>Spread risk, safety, business impact</w:t>
            </w:r>
          </w:p>
        </w:tc>
      </w:tr>
      <w:tr>
        <w:tc>
          <w:tcPr>
            <w:tcW w:type="dxa" w:w="3118"/>
          </w:tcPr>
          <w:p>
            <w:r/>
            <w:r>
              <w:rPr>
                <w:rFonts w:ascii="Calibri" w:hAnsi="Calibri" w:cs="Calibri" w:eastAsia="Calibri"/>
                <w:b w:val="0"/>
                <w:i w:val="0"/>
                <w:sz w:val="18"/>
                <w:szCs w:val="18"/>
              </w:rPr>
              <w:t>Notify regulators and affected individuals</w:t>
            </w:r>
          </w:p>
        </w:tc>
        <w:tc>
          <w:tcPr>
            <w:tcW w:type="dxa" w:w="2551"/>
          </w:tcPr>
          <w:p>
            <w:r/>
            <w:r>
              <w:rPr>
                <w:rFonts w:ascii="Calibri" w:hAnsi="Calibri" w:cs="Calibri" w:eastAsia="Calibri"/>
                <w:b w:val="0"/>
                <w:i w:val="0"/>
                <w:sz w:val="18"/>
                <w:szCs w:val="18"/>
              </w:rPr>
              <w:t>Chief Executive Officer (CEO) on advice of Data Protection Officer (DPO) and Legal Counsel</w:t>
            </w:r>
          </w:p>
        </w:tc>
        <w:tc>
          <w:tcPr>
            <w:tcW w:type="dxa" w:w="3685"/>
          </w:tcPr>
          <w:p>
            <w:r/>
            <w:r>
              <w:rPr>
                <w:rFonts w:ascii="Calibri" w:hAnsi="Calibri" w:cs="Calibri" w:eastAsia="Calibri"/>
                <w:b w:val="0"/>
                <w:i w:val="0"/>
                <w:sz w:val="18"/>
                <w:szCs w:val="18"/>
              </w:rPr>
              <w:t>RS-PRC-003 criteria</w:t>
            </w:r>
          </w:p>
        </w:tc>
      </w:tr>
      <w:tr>
        <w:tc>
          <w:tcPr>
            <w:tcW w:type="dxa" w:w="3118"/>
          </w:tcPr>
          <w:p>
            <w:r/>
            <w:r>
              <w:rPr>
                <w:rFonts w:ascii="Calibri" w:hAnsi="Calibri" w:cs="Calibri" w:eastAsia="Calibri"/>
                <w:b w:val="0"/>
                <w:i w:val="0"/>
                <w:sz w:val="18"/>
                <w:szCs w:val="18"/>
              </w:rPr>
              <w:t>Engage with threat actors or consider payment</w:t>
            </w:r>
          </w:p>
        </w:tc>
        <w:tc>
          <w:tcPr>
            <w:tcW w:type="dxa" w:w="2551"/>
          </w:tcPr>
          <w:p>
            <w:r/>
            <w:r>
              <w:rPr>
                <w:rFonts w:ascii="Calibri" w:hAnsi="Calibri" w:cs="Calibri" w:eastAsia="Calibri"/>
                <w:b w:val="0"/>
                <w:i w:val="0"/>
                <w:sz w:val="18"/>
                <w:szCs w:val="18"/>
              </w:rPr>
              <w:t>Chief Executive Officer (CEO) and CMC Board of Directors with Legal Counsel</w:t>
            </w:r>
          </w:p>
        </w:tc>
        <w:tc>
          <w:tcPr>
            <w:tcW w:type="dxa" w:w="3685"/>
          </w:tcPr>
          <w:p>
            <w:r/>
            <w:r>
              <w:rPr>
                <w:rFonts w:ascii="Calibri" w:hAnsi="Calibri" w:cs="Calibri" w:eastAsia="Calibri"/>
                <w:b w:val="0"/>
                <w:i w:val="0"/>
                <w:sz w:val="18"/>
                <w:szCs w:val="18"/>
              </w:rPr>
              <w:t>Legal and sanctions checks, backup status, law enforcement advice; payment does not guarantee recovery</w:t>
            </w:r>
          </w:p>
        </w:tc>
      </w:tr>
      <w:tr>
        <w:tc>
          <w:tcPr>
            <w:tcW w:type="dxa" w:w="3118"/>
          </w:tcPr>
          <w:p>
            <w:r/>
            <w:r>
              <w:rPr>
                <w:rFonts w:ascii="Calibri" w:hAnsi="Calibri" w:cs="Calibri" w:eastAsia="Calibri"/>
                <w:b w:val="0"/>
                <w:i w:val="0"/>
                <w:sz w:val="18"/>
                <w:szCs w:val="18"/>
              </w:rPr>
              <w:t>Public statement</w:t>
            </w:r>
          </w:p>
        </w:tc>
        <w:tc>
          <w:tcPr>
            <w:tcW w:type="dxa" w:w="2551"/>
          </w:tcPr>
          <w:p>
            <w:r/>
            <w:r>
              <w:rPr>
                <w:rFonts w:ascii="Calibri" w:hAnsi="Calibri" w:cs="Calibri" w:eastAsia="Calibri"/>
                <w:b w:val="0"/>
                <w:i w:val="0"/>
                <w:sz w:val="18"/>
                <w:szCs w:val="18"/>
              </w:rPr>
              <w:t>Chief Executive Officer (CEO)</w:t>
            </w:r>
          </w:p>
        </w:tc>
        <w:tc>
          <w:tcPr>
            <w:tcW w:type="dxa" w:w="3685"/>
          </w:tcPr>
          <w:p>
            <w:r/>
            <w:r>
              <w:rPr>
                <w:rFonts w:ascii="Calibri" w:hAnsi="Calibri" w:cs="Calibri" w:eastAsia="Calibri"/>
                <w:b w:val="0"/>
                <w:i w:val="0"/>
                <w:sz w:val="18"/>
                <w:szCs w:val="18"/>
              </w:rPr>
              <w:t>Prepared by Corporate Communications Manager using RC-TPL-001</w:t>
            </w:r>
          </w:p>
        </w:tc>
      </w:tr>
    </w:tbl>
    <w:p>
      <w:pPr>
        <w:spacing w:after="40"/>
      </w:pPr>
    </w:p>
    <w:p>
      <w:pPr>
        <w:pStyle w:val="Heading2"/>
        <w:keepNext/>
        <w:spacing w:before="120" w:after="80"/>
      </w:pPr>
      <w:r>
        <w:rPr>
          <w:rFonts w:ascii="Calibri" w:hAnsi="Calibri" w:cs="Calibri" w:eastAsia="Calibri"/>
          <w:b/>
          <w:i w:val="0"/>
          <w:color w:val="1F3864"/>
          <w:sz w:val="24"/>
          <w:szCs w:val="24"/>
          <w:bCs/>
        </w:rPr>
        <w:t>4.5 Recovery Conditions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conditions before restoring systems.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Initial access vector identified and closed.</w:t>
      </w:r>
    </w:p>
    <w:p>
      <w:pPr>
        <w:pStyle w:val="ListBullet"/>
        <w:spacing w:after="40"/>
      </w:pPr>
      <w:r>
        <w:rPr>
          <w:rFonts w:ascii="Calibri" w:hAnsi="Calibri" w:cs="Calibri" w:eastAsia="Calibri"/>
          <w:b w:val="0"/>
          <w:i w:val="0"/>
          <w:sz w:val="21"/>
          <w:szCs w:val="21"/>
        </w:rPr>
        <w:t>All privileged credentials reset, including service and backup accounts.</w:t>
      </w:r>
    </w:p>
    <w:p>
      <w:pPr>
        <w:pStyle w:val="ListBullet"/>
        <w:spacing w:after="40"/>
      </w:pPr>
      <w:r>
        <w:rPr>
          <w:rFonts w:ascii="Calibri" w:hAnsi="Calibri" w:cs="Calibri" w:eastAsia="Calibri"/>
          <w:b w:val="0"/>
          <w:i w:val="0"/>
          <w:sz w:val="21"/>
          <w:szCs w:val="21"/>
        </w:rPr>
        <w:t>Restore points verified clean in an isolated environment (PR-PRC-005).</w:t>
      </w:r>
    </w:p>
    <w:p>
      <w:pPr>
        <w:pStyle w:val="ListBullet"/>
        <w:spacing w:after="40"/>
      </w:pPr>
      <w:r>
        <w:rPr>
          <w:rFonts w:ascii="Calibri" w:hAnsi="Calibri" w:cs="Calibri" w:eastAsia="Calibri"/>
          <w:b w:val="0"/>
          <w:i w:val="0"/>
          <w:sz w:val="21"/>
          <w:szCs w:val="21"/>
        </w:rPr>
        <w:t>Recovery order follows the BIA priorities (RC-PLN-002).</w:t>
      </w:r>
    </w:p>
    <w:p>
      <w:pPr>
        <w:pStyle w:val="Heading2"/>
        <w:keepNext/>
        <w:spacing w:before="120" w:after="80"/>
      </w:pPr>
      <w:r>
        <w:rPr>
          <w:rFonts w:ascii="Calibri" w:hAnsi="Calibri" w:cs="Calibri" w:eastAsia="Calibri"/>
          <w:b/>
          <w:i w:val="0"/>
          <w:color w:val="1F3864"/>
          <w:sz w:val="24"/>
          <w:szCs w:val="24"/>
          <w:bCs/>
        </w:rPr>
        <w:t>4.6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Rebuild identity infrastructure (domain controllers) from known-good media if compromise is suspected.</w:t>
      </w:r>
    </w:p>
    <w:p>
      <w:pPr>
        <w:pStyle w:val="ListBullet"/>
        <w:spacing w:after="40"/>
      </w:pPr>
      <w:r>
        <w:rPr>
          <w:rFonts w:ascii="Calibri" w:hAnsi="Calibri" w:cs="Calibri" w:eastAsia="Calibri"/>
          <w:b w:val="0"/>
          <w:i w:val="0"/>
          <w:sz w:val="21"/>
          <w:szCs w:val="21"/>
        </w:rPr>
        <w:t>Assume data was stolen before encryption; start breach assessment early.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Restoring from backups before closing the entry point, leading to re-infection.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RS.MI-01: Incidents are contained</w:t>
            </w:r>
          </w:p>
          <w:p>
            <w:r>
              <w:rPr>
                <w:rFonts w:ascii="Calibri" w:hAnsi="Calibri" w:cs="Calibri" w:eastAsia="Calibri"/>
                <w:b w:val="0"/>
                <w:i w:val="0"/>
                <w:sz w:val="18"/>
                <w:szCs w:val="18"/>
              </w:rPr>
              <w:t>RS.MI-02: Incidents are eradicated</w:t>
            </w:r>
          </w:p>
          <w:p>
            <w:r>
              <w:rPr>
                <w:rFonts w:ascii="Calibri" w:hAnsi="Calibri" w:cs="Calibri" w:eastAsia="Calibri"/>
                <w:b w:val="0"/>
                <w:i w:val="0"/>
                <w:sz w:val="18"/>
                <w:szCs w:val="18"/>
              </w:rPr>
              <w:t>RS.AN-03: Analysis is performed to establish what has taken place during an incident and the root cause</w:t>
            </w:r>
          </w:p>
          <w:p>
            <w:r>
              <w:rPr>
                <w:rFonts w:ascii="Calibri" w:hAnsi="Calibri" w:cs="Calibri" w:eastAsia="Calibri"/>
                <w:b w:val="0"/>
                <w:i w:val="0"/>
                <w:sz w:val="18"/>
                <w:szCs w:val="18"/>
              </w:rPr>
              <w:t>RC.RP-03: The integrity of backups and other restoration assets is verified before using them for restoration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800-61 Rev. 3; NIST IR 8374 (Ransomware Risk Management)</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RS-PRC-001: Incident Handling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RS-PLB-001  |  Ransomware Response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