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Phishing and Business Email Compromise Playbook</w:t>
      </w:r>
    </w:p>
    <w:p>
      <w:pPr>
        <w:spacing w:after="80" w:before="0"/>
      </w:pPr>
      <w:r>
        <w:rPr>
          <w:rFonts w:ascii="Calibri" w:hAnsi="Calibri" w:cs="Calibri" w:eastAsia="Calibri"/>
          <w:b w:val="0"/>
          <w:i w:val="0"/>
          <w:color w:val="595959"/>
          <w:sz w:val="18"/>
          <w:szCs w:val="18"/>
        </w:rPr>
        <w:t>RS-PLB-002  |  Playbook  |  Incident Management (RS.MA)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RS-PLB-002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Phishing and Business Email Compromise Playbook</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20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20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Playbook</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Respond (RS)</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Management (RS.MA)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NIST SP 800-61 Rev. 3</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18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20 May 2026</w:t>
            </w:r>
          </w:p>
        </w:tc>
        <w:tc>
          <w:tcPr>
            <w:tcW w:type="dxa" w:w="3742"/>
          </w:tcPr>
          <w:p>
            <w:r/>
            <w:r>
              <w:rPr>
                <w:rFonts w:ascii="Calibri" w:hAnsi="Calibri" w:cs="Calibri" w:eastAsia="Calibri"/>
                <w:b w:val="0"/>
                <w:i w:val="0"/>
                <w:sz w:val="18"/>
                <w:szCs w:val="18"/>
              </w:rPr>
              <w:t>Updated after the February 2026 ransomware tabletop exercise (EX-2026-01) and the June 2026 email compromise attempt (INC-2026-014).</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playbook gives specific actions for responding to phishing and business email compromise (BEC), including payment fraud attempts (RS.MI-01, RS.MI-02).</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playbook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Response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actions by scenario.</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551"/>
        <w:gridCol w:w="6804"/>
      </w:tblGrid>
      <w:tr>
        <w:trPr>
          <w:tblHeader w:val="true"/>
        </w:trPr>
        <w:tc>
          <w:tcPr>
            <w:tcW w:type="dxa" w:w="2551"/>
            <w:shd w:val="clear" w:color="auto" w:fill="1F3864"/>
          </w:tcPr>
          <w:p>
            <w:r/>
            <w:r>
              <w:rPr>
                <w:rFonts w:ascii="Calibri" w:hAnsi="Calibri" w:cs="Calibri" w:eastAsia="Calibri"/>
                <w:b/>
                <w:i w:val="0"/>
                <w:color w:val="FFFFFF"/>
                <w:sz w:val="18"/>
                <w:szCs w:val="18"/>
                <w:bCs/>
              </w:rPr>
              <w:t>Scenario</w:t>
            </w:r>
          </w:p>
        </w:tc>
        <w:tc>
          <w:tcPr>
            <w:tcW w:type="dxa" w:w="6803"/>
            <w:shd w:val="clear" w:color="auto" w:fill="1F3864"/>
          </w:tcPr>
          <w:p>
            <w:r/>
            <w:r>
              <w:rPr>
                <w:rFonts w:ascii="Calibri" w:hAnsi="Calibri" w:cs="Calibri" w:eastAsia="Calibri"/>
                <w:b/>
                <w:i w:val="0"/>
                <w:color w:val="FFFFFF"/>
                <w:sz w:val="18"/>
                <w:szCs w:val="18"/>
                <w:bCs/>
              </w:rPr>
              <w:t>CMC actions (from INC-2026-014)</w:t>
            </w:r>
          </w:p>
        </w:tc>
      </w:tr>
      <w:tr>
        <w:tc>
          <w:tcPr>
            <w:tcW w:type="dxa" w:w="2551"/>
          </w:tcPr>
          <w:p>
            <w:r/>
            <w:r>
              <w:rPr>
                <w:rFonts w:ascii="Calibri" w:hAnsi="Calibri" w:cs="Calibri" w:eastAsia="Calibri"/>
                <w:b w:val="0"/>
                <w:i w:val="0"/>
                <w:sz w:val="18"/>
                <w:szCs w:val="18"/>
              </w:rPr>
              <w:t>Phishing reported, no click</w:t>
            </w:r>
          </w:p>
        </w:tc>
        <w:tc>
          <w:tcPr>
            <w:tcW w:type="dxa" w:w="6803"/>
          </w:tcPr>
          <w:p>
            <w:r/>
            <w:r>
              <w:rPr>
                <w:rFonts w:ascii="Calibri" w:hAnsi="Calibri" w:cs="Calibri" w:eastAsia="Calibri"/>
                <w:b w:val="0"/>
                <w:i w:val="0"/>
                <w:sz w:val="18"/>
                <w:szCs w:val="18"/>
              </w:rPr>
              <w:t>MSSP purges the message tenant-wide within 30 minutes; sender blocked</w:t>
            </w:r>
          </w:p>
        </w:tc>
      </w:tr>
      <w:tr>
        <w:tc>
          <w:tcPr>
            <w:tcW w:type="dxa" w:w="2551"/>
          </w:tcPr>
          <w:p>
            <w:r/>
            <w:r>
              <w:rPr>
                <w:rFonts w:ascii="Calibri" w:hAnsi="Calibri" w:cs="Calibri" w:eastAsia="Calibri"/>
                <w:b w:val="0"/>
                <w:i w:val="0"/>
                <w:sz w:val="18"/>
                <w:szCs w:val="18"/>
              </w:rPr>
              <w:t>User clicked or entered credentials</w:t>
            </w:r>
          </w:p>
        </w:tc>
        <w:tc>
          <w:tcPr>
            <w:tcW w:type="dxa" w:w="6803"/>
          </w:tcPr>
          <w:p>
            <w:r/>
            <w:r>
              <w:rPr>
                <w:rFonts w:ascii="Calibri" w:hAnsi="Calibri" w:cs="Calibri" w:eastAsia="Calibri"/>
                <w:b w:val="0"/>
                <w:i w:val="0"/>
                <w:sz w:val="18"/>
                <w:szCs w:val="18"/>
              </w:rPr>
              <w:t>Account reset, sessions revoked, MFA re-registered; MSSP reviews 30 days of sign-ins</w:t>
            </w:r>
          </w:p>
        </w:tc>
      </w:tr>
      <w:tr>
        <w:tc>
          <w:tcPr>
            <w:tcW w:type="dxa" w:w="2551"/>
          </w:tcPr>
          <w:p>
            <w:r/>
            <w:r>
              <w:rPr>
                <w:rFonts w:ascii="Calibri" w:hAnsi="Calibri" w:cs="Calibri" w:eastAsia="Calibri"/>
                <w:b w:val="0"/>
                <w:i w:val="0"/>
                <w:sz w:val="18"/>
                <w:szCs w:val="18"/>
              </w:rPr>
              <w:t>Mailbox compromised (BEC)</w:t>
            </w:r>
          </w:p>
        </w:tc>
        <w:tc>
          <w:tcPr>
            <w:tcW w:type="dxa" w:w="6803"/>
          </w:tcPr>
          <w:p>
            <w:r/>
            <w:r>
              <w:rPr>
                <w:rFonts w:ascii="Calibri" w:hAnsi="Calibri" w:cs="Calibri" w:eastAsia="Calibri"/>
                <w:b w:val="0"/>
                <w:i w:val="0"/>
                <w:sz w:val="18"/>
                <w:szCs w:val="18"/>
              </w:rPr>
              <w:t>June 2026: a procurement mailbox was accessed; forwarding rule to an external address removed within 2 hours; 14 vendors warned</w:t>
            </w:r>
          </w:p>
        </w:tc>
      </w:tr>
      <w:tr>
        <w:tc>
          <w:tcPr>
            <w:tcW w:type="dxa" w:w="2551"/>
          </w:tcPr>
          <w:p>
            <w:r/>
            <w:r>
              <w:rPr>
                <w:rFonts w:ascii="Calibri" w:hAnsi="Calibri" w:cs="Calibri" w:eastAsia="Calibri"/>
                <w:b w:val="0"/>
                <w:i w:val="0"/>
                <w:sz w:val="18"/>
                <w:szCs w:val="18"/>
              </w:rPr>
              <w:t>Payment fraud attempt</w:t>
            </w:r>
          </w:p>
        </w:tc>
        <w:tc>
          <w:tcPr>
            <w:tcW w:type="dxa" w:w="6803"/>
          </w:tcPr>
          <w:p>
            <w:r/>
            <w:r>
              <w:rPr>
                <w:rFonts w:ascii="Calibri" w:hAnsi="Calibri" w:cs="Calibri" w:eastAsia="Calibri"/>
                <w:b w:val="0"/>
                <w:i w:val="0"/>
                <w:sz w:val="18"/>
                <w:szCs w:val="18"/>
              </w:rPr>
              <w:t>Fake bank detail change request stopped by call-back verification (CAR-2026-011); bank and police informed</w:t>
            </w:r>
          </w:p>
        </w:tc>
      </w:tr>
    </w:tbl>
    <w:p>
      <w:pPr>
        <w:spacing w:after="40"/>
      </w:pPr>
    </w:p>
    <w:p>
      <w:pPr>
        <w:pStyle w:val="Heading2"/>
        <w:keepNext/>
        <w:spacing w:before="120" w:after="80"/>
      </w:pPr>
      <w:r>
        <w:rPr>
          <w:rFonts w:ascii="Calibri" w:hAnsi="Calibri" w:cs="Calibri" w:eastAsia="Calibri"/>
          <w:b/>
          <w:i w:val="0"/>
          <w:color w:val="1F3864"/>
          <w:sz w:val="24"/>
          <w:szCs w:val="24"/>
          <w:bCs/>
        </w:rPr>
        <w:t>4.4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Records produced under this document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Enable a one-click report button and measure time from report to removal.</w:t>
      </w:r>
    </w:p>
    <w:p>
      <w:pPr>
        <w:pStyle w:val="ListBullet"/>
        <w:spacing w:after="40"/>
      </w:pPr>
      <w:r>
        <w:rPr>
          <w:rFonts w:ascii="Calibri" w:hAnsi="Calibri" w:cs="Calibri" w:eastAsia="Calibri"/>
          <w:b w:val="0"/>
          <w:i w:val="0"/>
          <w:sz w:val="21"/>
          <w:szCs w:val="21"/>
        </w:rPr>
        <w:t>Require call-back verification for any change of bank details.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Only resetting the password without checking mailbox rules and MFA registrations added by the attacker.</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RS.MI-01: Incidents are contained</w:t>
            </w:r>
          </w:p>
          <w:p>
            <w:r>
              <w:rPr>
                <w:rFonts w:ascii="Calibri" w:hAnsi="Calibri" w:cs="Calibri" w:eastAsia="Calibri"/>
                <w:b w:val="0"/>
                <w:i w:val="0"/>
                <w:sz w:val="18"/>
                <w:szCs w:val="18"/>
              </w:rPr>
              <w:t>RS.MI-02: Incidents are eradicated</w:t>
            </w:r>
          </w:p>
          <w:p>
            <w:r>
              <w:rPr>
                <w:rFonts w:ascii="Calibri" w:hAnsi="Calibri" w:cs="Calibri" w:eastAsia="Calibri"/>
                <w:b w:val="0"/>
                <w:i w:val="0"/>
                <w:sz w:val="18"/>
                <w:szCs w:val="18"/>
              </w:rPr>
              <w:t>RS.AN-03: Analysis is performed to establish what has taken place during an incident and the root cause</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IR-4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NIST SP 800-61 Rev. 3</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RS-PRC-001: Incident Handling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RS-PLB-002  |  Phishing and Business Email Compromise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