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Personal Data Breach Response Playbook</w:t>
      </w:r>
    </w:p>
    <w:p>
      <w:pPr>
        <w:spacing w:after="80" w:before="0"/>
      </w:pPr>
      <w:r>
        <w:rPr>
          <w:rFonts w:ascii="Calibri" w:hAnsi="Calibri" w:cs="Calibri" w:eastAsia="Calibri"/>
          <w:b w:val="0"/>
          <w:i w:val="0"/>
          <w:color w:val="595959"/>
          <w:sz w:val="18"/>
          <w:szCs w:val="18"/>
        </w:rPr>
        <w:t>RS-PLB-003  |  Playbook  |  Incident Management (RS.MA)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RS-PLB-003</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Personal Data Breach Response Playbook</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Data Protection Officer (DPO)</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4 August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4 August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Playbook</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Respond (RS)</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Incident Management (RS.MA)</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PDPA</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PDPA s.37(4); PDPC Notification on Breach Notification Criteria B.E. 2565 [VERIFY]</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Legal and Regulatory, Privacy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25 September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Data Protection Officer (DPO)</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4 August 2026</w:t>
            </w:r>
          </w:p>
        </w:tc>
        <w:tc>
          <w:tcPr>
            <w:tcW w:type="dxa" w:w="3742"/>
          </w:tcPr>
          <w:p>
            <w:r/>
            <w:r>
              <w:rPr>
                <w:rFonts w:ascii="Calibri" w:hAnsi="Calibri" w:cs="Calibri" w:eastAsia="Calibri"/>
                <w:b w:val="0"/>
                <w:i w:val="0"/>
                <w:sz w:val="18"/>
                <w:szCs w:val="18"/>
              </w:rPr>
              <w:t>Updated after the February 2026 ransomware tabletop exercise (EX-2026-01) and the June 2026 email compromise attempt (INC-2026-014).</w:t>
            </w:r>
          </w:p>
        </w:tc>
        <w:tc>
          <w:tcPr>
            <w:tcW w:type="dxa" w:w="1587"/>
          </w:tcPr>
          <w:p>
            <w:r/>
            <w:r>
              <w:rPr>
                <w:rFonts w:ascii="Calibri" w:hAnsi="Calibri" w:cs="Calibri" w:eastAsia="Calibri"/>
                <w:b w:val="0"/>
                <w:i w:val="0"/>
                <w:sz w:val="18"/>
                <w:szCs w:val="18"/>
              </w:rPr>
              <w:t>Data Protection Officer (DPO)</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playbook guides the assessment and handling of personal data breaches, including the decision and timeline to notify the Personal Data Protection Committee (PDPC) and data subjects under PDPA s.37(4).</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playbook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Breach Assessment</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how to assess whether a breach is notifiable.</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3118"/>
        <w:gridCol w:w="6237"/>
      </w:tblGrid>
      <w:tr>
        <w:trPr>
          <w:tblHeader w:val="true"/>
        </w:trPr>
        <w:tc>
          <w:tcPr>
            <w:tcW w:type="dxa" w:w="3118"/>
            <w:shd w:val="clear" w:color="auto" w:fill="1F3864"/>
          </w:tcPr>
          <w:p>
            <w:r/>
            <w:r>
              <w:rPr>
                <w:rFonts w:ascii="Calibri" w:hAnsi="Calibri" w:cs="Calibri" w:eastAsia="Calibri"/>
                <w:b/>
                <w:i w:val="0"/>
                <w:color w:val="FFFFFF"/>
                <w:sz w:val="18"/>
                <w:szCs w:val="18"/>
                <w:bCs/>
              </w:rPr>
              <w:t>Question</w:t>
            </w:r>
          </w:p>
        </w:tc>
        <w:tc>
          <w:tcPr>
            <w:tcW w:type="dxa" w:w="6236"/>
            <w:shd w:val="clear" w:color="auto" w:fill="1F3864"/>
          </w:tcPr>
          <w:p>
            <w:r/>
            <w:r>
              <w:rPr>
                <w:rFonts w:ascii="Calibri" w:hAnsi="Calibri" w:cs="Calibri" w:eastAsia="Calibri"/>
                <w:b/>
                <w:i w:val="0"/>
                <w:color w:val="FFFFFF"/>
                <w:sz w:val="18"/>
                <w:szCs w:val="18"/>
                <w:bCs/>
              </w:rPr>
              <w:t>Consideration</w:t>
            </w:r>
          </w:p>
        </w:tc>
      </w:tr>
      <w:tr>
        <w:tc>
          <w:tcPr>
            <w:tcW w:type="dxa" w:w="3118"/>
          </w:tcPr>
          <w:p>
            <w:r/>
            <w:r>
              <w:rPr>
                <w:rFonts w:ascii="Calibri" w:hAnsi="Calibri" w:cs="Calibri" w:eastAsia="Calibri"/>
                <w:b w:val="0"/>
                <w:i w:val="0"/>
                <w:sz w:val="18"/>
                <w:szCs w:val="18"/>
              </w:rPr>
              <w:t>Is personal data involved?</w:t>
            </w:r>
          </w:p>
        </w:tc>
        <w:tc>
          <w:tcPr>
            <w:tcW w:type="dxa" w:w="6236"/>
          </w:tcPr>
          <w:p>
            <w:r/>
            <w:r>
              <w:rPr>
                <w:rFonts w:ascii="Calibri" w:hAnsi="Calibri" w:cs="Calibri" w:eastAsia="Calibri"/>
                <w:b w:val="0"/>
                <w:i w:val="0"/>
                <w:sz w:val="18"/>
                <w:szCs w:val="18"/>
              </w:rPr>
              <w:t>Any information that identifies a person directly or indirectly</w:t>
            </w:r>
          </w:p>
        </w:tc>
      </w:tr>
      <w:tr>
        <w:tc>
          <w:tcPr>
            <w:tcW w:type="dxa" w:w="3118"/>
          </w:tcPr>
          <w:p>
            <w:r/>
            <w:r>
              <w:rPr>
                <w:rFonts w:ascii="Calibri" w:hAnsi="Calibri" w:cs="Calibri" w:eastAsia="Calibri"/>
                <w:b w:val="0"/>
                <w:i w:val="0"/>
                <w:sz w:val="18"/>
                <w:szCs w:val="18"/>
              </w:rPr>
              <w:t>What type of breach?</w:t>
            </w:r>
          </w:p>
        </w:tc>
        <w:tc>
          <w:tcPr>
            <w:tcW w:type="dxa" w:w="6236"/>
          </w:tcPr>
          <w:p>
            <w:r/>
            <w:r>
              <w:rPr>
                <w:rFonts w:ascii="Calibri" w:hAnsi="Calibri" w:cs="Calibri" w:eastAsia="Calibri"/>
                <w:b w:val="0"/>
                <w:i w:val="0"/>
                <w:sz w:val="18"/>
                <w:szCs w:val="18"/>
              </w:rPr>
              <w:t>Confidentiality (disclosure), integrity (alteration), availability (loss or destruction)</w:t>
            </w:r>
          </w:p>
        </w:tc>
      </w:tr>
      <w:tr>
        <w:tc>
          <w:tcPr>
            <w:tcW w:type="dxa" w:w="3118"/>
          </w:tcPr>
          <w:p>
            <w:r/>
            <w:r>
              <w:rPr>
                <w:rFonts w:ascii="Calibri" w:hAnsi="Calibri" w:cs="Calibri" w:eastAsia="Calibri"/>
                <w:b w:val="0"/>
                <w:i w:val="0"/>
                <w:sz w:val="18"/>
                <w:szCs w:val="18"/>
              </w:rPr>
              <w:t>What data and how many people?</w:t>
            </w:r>
          </w:p>
        </w:tc>
        <w:tc>
          <w:tcPr>
            <w:tcW w:type="dxa" w:w="6236"/>
          </w:tcPr>
          <w:p>
            <w:r/>
            <w:r>
              <w:rPr>
                <w:rFonts w:ascii="Calibri" w:hAnsi="Calibri" w:cs="Calibri" w:eastAsia="Calibri"/>
                <w:b w:val="0"/>
                <w:i w:val="0"/>
                <w:sz w:val="18"/>
                <w:szCs w:val="18"/>
              </w:rPr>
              <w:t>Sensitive data under PDPA s.26 increases risk</w:t>
            </w:r>
          </w:p>
        </w:tc>
      </w:tr>
      <w:tr>
        <w:tc>
          <w:tcPr>
            <w:tcW w:type="dxa" w:w="3118"/>
          </w:tcPr>
          <w:p>
            <w:r/>
            <w:r>
              <w:rPr>
                <w:rFonts w:ascii="Calibri" w:hAnsi="Calibri" w:cs="Calibri" w:eastAsia="Calibri"/>
                <w:b w:val="0"/>
                <w:i w:val="0"/>
                <w:sz w:val="18"/>
                <w:szCs w:val="18"/>
              </w:rPr>
              <w:t>Is there risk to rights and freedoms?</w:t>
            </w:r>
          </w:p>
        </w:tc>
        <w:tc>
          <w:tcPr>
            <w:tcW w:type="dxa" w:w="6236"/>
          </w:tcPr>
          <w:p>
            <w:r/>
            <w:r>
              <w:rPr>
                <w:rFonts w:ascii="Calibri" w:hAnsi="Calibri" w:cs="Calibri" w:eastAsia="Calibri"/>
                <w:b w:val="0"/>
                <w:i w:val="0"/>
                <w:sz w:val="18"/>
                <w:szCs w:val="18"/>
              </w:rPr>
              <w:t>If no risk, notification to the PDPC is not required, but record the decision</w:t>
            </w:r>
          </w:p>
        </w:tc>
      </w:tr>
      <w:tr>
        <w:tc>
          <w:tcPr>
            <w:tcW w:type="dxa" w:w="3118"/>
          </w:tcPr>
          <w:p>
            <w:r/>
            <w:r>
              <w:rPr>
                <w:rFonts w:ascii="Calibri" w:hAnsi="Calibri" w:cs="Calibri" w:eastAsia="Calibri"/>
                <w:b w:val="0"/>
                <w:i w:val="0"/>
                <w:sz w:val="18"/>
                <w:szCs w:val="18"/>
              </w:rPr>
              <w:t>Is the risk high?</w:t>
            </w:r>
          </w:p>
        </w:tc>
        <w:tc>
          <w:tcPr>
            <w:tcW w:type="dxa" w:w="6236"/>
          </w:tcPr>
          <w:p>
            <w:r/>
            <w:r>
              <w:rPr>
                <w:rFonts w:ascii="Calibri" w:hAnsi="Calibri" w:cs="Calibri" w:eastAsia="Calibri"/>
                <w:b w:val="0"/>
                <w:i w:val="0"/>
                <w:sz w:val="18"/>
                <w:szCs w:val="18"/>
              </w:rPr>
              <w:t>If high, notify affected data subjects without delay together with remedies</w:t>
            </w:r>
          </w:p>
        </w:tc>
      </w:tr>
    </w:tbl>
    <w:p>
      <w:pPr>
        <w:spacing w:after="40"/>
      </w:pPr>
    </w:p>
    <w:p>
      <w:pPr>
        <w:pStyle w:val="Heading2"/>
        <w:keepNext/>
        <w:spacing w:before="120" w:after="80"/>
      </w:pPr>
      <w:r>
        <w:rPr>
          <w:rFonts w:ascii="Calibri" w:hAnsi="Calibri" w:cs="Calibri" w:eastAsia="Calibri"/>
          <w:b/>
          <w:i w:val="0"/>
          <w:color w:val="1F3864"/>
          <w:sz w:val="24"/>
          <w:szCs w:val="24"/>
          <w:bCs/>
        </w:rPr>
        <w:t>4.4 Notification Timeline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the legal deadlines and internal targets.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4536"/>
        <w:gridCol w:w="4819"/>
      </w:tblGrid>
      <w:tr>
        <w:trPr>
          <w:tblHeader w:val="true"/>
        </w:trPr>
        <w:tc>
          <w:tcPr>
            <w:tcW w:type="dxa" w:w="4535"/>
            <w:shd w:val="clear" w:color="auto" w:fill="1F3864"/>
          </w:tcPr>
          <w:p>
            <w:r/>
            <w:r>
              <w:rPr>
                <w:rFonts w:ascii="Calibri" w:hAnsi="Calibri" w:cs="Calibri" w:eastAsia="Calibri"/>
                <w:b/>
                <w:i w:val="0"/>
                <w:color w:val="FFFFFF"/>
                <w:sz w:val="18"/>
                <w:szCs w:val="18"/>
                <w:bCs/>
              </w:rPr>
              <w:t>Milestone</w:t>
            </w:r>
          </w:p>
        </w:tc>
        <w:tc>
          <w:tcPr>
            <w:tcW w:type="dxa" w:w="4819"/>
            <w:shd w:val="clear" w:color="auto" w:fill="1F3864"/>
          </w:tcPr>
          <w:p>
            <w:r/>
            <w:r>
              <w:rPr>
                <w:rFonts w:ascii="Calibri" w:hAnsi="Calibri" w:cs="Calibri" w:eastAsia="Calibri"/>
                <w:b/>
                <w:i w:val="0"/>
                <w:color w:val="FFFFFF"/>
                <w:sz w:val="18"/>
                <w:szCs w:val="18"/>
                <w:bCs/>
              </w:rPr>
              <w:t>Target</w:t>
            </w:r>
          </w:p>
        </w:tc>
      </w:tr>
      <w:tr>
        <w:tc>
          <w:tcPr>
            <w:tcW w:type="dxa" w:w="4535"/>
          </w:tcPr>
          <w:p>
            <w:r/>
            <w:r>
              <w:rPr>
                <w:rFonts w:ascii="Calibri" w:hAnsi="Calibri" w:cs="Calibri" w:eastAsia="Calibri"/>
                <w:b w:val="0"/>
                <w:i w:val="0"/>
                <w:sz w:val="18"/>
                <w:szCs w:val="18"/>
              </w:rPr>
              <w:t>Breach detected and reported to Data Protection Officer (DPO)</w:t>
            </w:r>
          </w:p>
        </w:tc>
        <w:tc>
          <w:tcPr>
            <w:tcW w:type="dxa" w:w="4819"/>
          </w:tcPr>
          <w:p>
            <w:r/>
            <w:r>
              <w:rPr>
                <w:rFonts w:ascii="Calibri" w:hAnsi="Calibri" w:cs="Calibri" w:eastAsia="Calibri"/>
                <w:b w:val="0"/>
                <w:i w:val="0"/>
                <w:sz w:val="18"/>
                <w:szCs w:val="18"/>
              </w:rPr>
              <w:t>Immediately</w:t>
            </w:r>
          </w:p>
        </w:tc>
      </w:tr>
      <w:tr>
        <w:tc>
          <w:tcPr>
            <w:tcW w:type="dxa" w:w="4535"/>
          </w:tcPr>
          <w:p>
            <w:r/>
            <w:r>
              <w:rPr>
                <w:rFonts w:ascii="Calibri" w:hAnsi="Calibri" w:cs="Calibri" w:eastAsia="Calibri"/>
                <w:b w:val="0"/>
                <w:i w:val="0"/>
                <w:sz w:val="18"/>
                <w:szCs w:val="18"/>
              </w:rPr>
              <w:t>Initial assessment and containment</w:t>
            </w:r>
          </w:p>
        </w:tc>
        <w:tc>
          <w:tcPr>
            <w:tcW w:type="dxa" w:w="4819"/>
          </w:tcPr>
          <w:p>
            <w:r/>
            <w:r>
              <w:rPr>
                <w:rFonts w:ascii="Calibri" w:hAnsi="Calibri" w:cs="Calibri" w:eastAsia="Calibri"/>
                <w:b w:val="0"/>
                <w:i w:val="0"/>
                <w:sz w:val="18"/>
                <w:szCs w:val="18"/>
              </w:rPr>
              <w:t>Within 24 hours</w:t>
            </w:r>
          </w:p>
        </w:tc>
      </w:tr>
      <w:tr>
        <w:tc>
          <w:tcPr>
            <w:tcW w:type="dxa" w:w="4535"/>
          </w:tcPr>
          <w:p>
            <w:r/>
            <w:r>
              <w:rPr>
                <w:rFonts w:ascii="Calibri" w:hAnsi="Calibri" w:cs="Calibri" w:eastAsia="Calibri"/>
                <w:b w:val="0"/>
                <w:i w:val="0"/>
                <w:sz w:val="18"/>
                <w:szCs w:val="18"/>
              </w:rPr>
              <w:t>Notify the PDPC (if risk to rights and freedoms)</w:t>
            </w:r>
          </w:p>
        </w:tc>
        <w:tc>
          <w:tcPr>
            <w:tcW w:type="dxa" w:w="4819"/>
          </w:tcPr>
          <w:p>
            <w:r/>
            <w:r>
              <w:rPr>
                <w:rFonts w:ascii="Calibri" w:hAnsi="Calibri" w:cs="Calibri" w:eastAsia="Calibri"/>
                <w:b w:val="0"/>
                <w:i w:val="0"/>
                <w:sz w:val="18"/>
                <w:szCs w:val="18"/>
              </w:rPr>
              <w:t>Without delay and within 72 hours of becoming aware, where feasible (PDPA s.37(4))</w:t>
            </w:r>
          </w:p>
        </w:tc>
      </w:tr>
      <w:tr>
        <w:tc>
          <w:tcPr>
            <w:tcW w:type="dxa" w:w="4535"/>
          </w:tcPr>
          <w:p>
            <w:r/>
            <w:r>
              <w:rPr>
                <w:rFonts w:ascii="Calibri" w:hAnsi="Calibri" w:cs="Calibri" w:eastAsia="Calibri"/>
                <w:b w:val="0"/>
                <w:i w:val="0"/>
                <w:sz w:val="18"/>
                <w:szCs w:val="18"/>
              </w:rPr>
              <w:t>Notify data subjects (if high risk)</w:t>
            </w:r>
          </w:p>
        </w:tc>
        <w:tc>
          <w:tcPr>
            <w:tcW w:type="dxa" w:w="4819"/>
          </w:tcPr>
          <w:p>
            <w:r/>
            <w:r>
              <w:rPr>
                <w:rFonts w:ascii="Calibri" w:hAnsi="Calibri" w:cs="Calibri" w:eastAsia="Calibri"/>
                <w:b w:val="0"/>
                <w:i w:val="0"/>
                <w:sz w:val="18"/>
                <w:szCs w:val="18"/>
              </w:rPr>
              <w:t>Without delay</w:t>
            </w:r>
          </w:p>
        </w:tc>
      </w:tr>
      <w:tr>
        <w:tc>
          <w:tcPr>
            <w:tcW w:type="dxa" w:w="4535"/>
          </w:tcPr>
          <w:p>
            <w:r/>
            <w:r>
              <w:rPr>
                <w:rFonts w:ascii="Calibri" w:hAnsi="Calibri" w:cs="Calibri" w:eastAsia="Calibri"/>
                <w:b w:val="0"/>
                <w:i w:val="0"/>
                <w:sz w:val="18"/>
                <w:szCs w:val="18"/>
              </w:rPr>
              <w:t>Record the breach and decision</w:t>
            </w:r>
          </w:p>
        </w:tc>
        <w:tc>
          <w:tcPr>
            <w:tcW w:type="dxa" w:w="4819"/>
          </w:tcPr>
          <w:p>
            <w:r/>
            <w:r>
              <w:rPr>
                <w:rFonts w:ascii="Calibri" w:hAnsi="Calibri" w:cs="Calibri" w:eastAsia="Calibri"/>
                <w:b w:val="0"/>
                <w:i w:val="0"/>
                <w:sz w:val="18"/>
                <w:szCs w:val="18"/>
              </w:rPr>
              <w:t>In all cases, in RS-REG-001</w:t>
            </w:r>
          </w:p>
        </w:tc>
      </w:tr>
    </w:tbl>
    <w:p>
      <w:pPr>
        <w:spacing w:after="40"/>
      </w:pPr>
    </w:p>
    <w:p>
      <w:pPr>
        <w:pStyle w:val="Heading2"/>
        <w:keepNext/>
        <w:spacing w:before="120" w:after="80"/>
      </w:pPr>
      <w:r>
        <w:rPr>
          <w:rFonts w:ascii="Calibri" w:hAnsi="Calibri" w:cs="Calibri" w:eastAsia="Calibri"/>
          <w:b/>
          <w:i w:val="0"/>
          <w:color w:val="1F3864"/>
          <w:sz w:val="24"/>
          <w:szCs w:val="24"/>
          <w:bCs/>
        </w:rPr>
        <w:t>4.5 Notification Content</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minimum content of notifications. [VERIFY against the current PDPC notification on breach notification criteria.]</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Nature of the breach and categories and approximate number of data subjects and records.</w:t>
      </w:r>
    </w:p>
    <w:p>
      <w:pPr>
        <w:pStyle w:val="ListBullet"/>
        <w:spacing w:after="40"/>
      </w:pPr>
      <w:r>
        <w:rPr>
          <w:rFonts w:ascii="Calibri" w:hAnsi="Calibri" w:cs="Calibri" w:eastAsia="Calibri"/>
          <w:b w:val="0"/>
          <w:i w:val="0"/>
          <w:sz w:val="21"/>
          <w:szCs w:val="21"/>
        </w:rPr>
        <w:t>Contact details of the DPO or contact person.</w:t>
      </w:r>
    </w:p>
    <w:p>
      <w:pPr>
        <w:pStyle w:val="ListBullet"/>
        <w:spacing w:after="40"/>
      </w:pPr>
      <w:r>
        <w:rPr>
          <w:rFonts w:ascii="Calibri" w:hAnsi="Calibri" w:cs="Calibri" w:eastAsia="Calibri"/>
          <w:b w:val="0"/>
          <w:i w:val="0"/>
          <w:sz w:val="21"/>
          <w:szCs w:val="21"/>
        </w:rPr>
        <w:t>Likely consequences.</w:t>
      </w:r>
    </w:p>
    <w:p>
      <w:pPr>
        <w:pStyle w:val="ListBullet"/>
        <w:spacing w:after="40"/>
      </w:pPr>
      <w:r>
        <w:rPr>
          <w:rFonts w:ascii="Calibri" w:hAnsi="Calibri" w:cs="Calibri" w:eastAsia="Calibri"/>
          <w:b w:val="0"/>
          <w:i w:val="0"/>
          <w:sz w:val="21"/>
          <w:szCs w:val="21"/>
        </w:rPr>
        <w:t>Measures taken or proposed to address the breach and reduce harm.</w:t>
      </w:r>
    </w:p>
    <w:p>
      <w:pPr>
        <w:pStyle w:val="ListBullet"/>
        <w:spacing w:after="40"/>
      </w:pPr>
      <w:r>
        <w:rPr>
          <w:rFonts w:ascii="Calibri" w:hAnsi="Calibri" w:cs="Calibri" w:eastAsia="Calibri"/>
          <w:b w:val="0"/>
          <w:i w:val="0"/>
          <w:sz w:val="21"/>
          <w:szCs w:val="21"/>
        </w:rPr>
        <w:t>Use the templates in RS-TPL-002.</w:t>
      </w:r>
    </w:p>
    <w:p>
      <w:pPr>
        <w:pStyle w:val="Heading2"/>
        <w:keepNext/>
        <w:spacing w:before="120" w:after="80"/>
      </w:pPr>
      <w:r>
        <w:rPr>
          <w:rFonts w:ascii="Calibri" w:hAnsi="Calibri" w:cs="Calibri" w:eastAsia="Calibri"/>
          <w:b/>
          <w:i w:val="0"/>
          <w:color w:val="1F3864"/>
          <w:sz w:val="24"/>
          <w:szCs w:val="24"/>
          <w:bCs/>
        </w:rPr>
        <w:t>4.6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Records produced under this document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Start the 72-hour clock at awareness and document when awareness occurred.</w:t>
      </w:r>
    </w:p>
    <w:p>
      <w:pPr>
        <w:pStyle w:val="ListBullet"/>
        <w:spacing w:after="40"/>
      </w:pPr>
      <w:r>
        <w:rPr>
          <w:rFonts w:ascii="Calibri" w:hAnsi="Calibri" w:cs="Calibri" w:eastAsia="Calibri"/>
          <w:b w:val="0"/>
          <w:i w:val="0"/>
          <w:sz w:val="21"/>
          <w:szCs w:val="21"/>
        </w:rPr>
        <w:t>Notify in phases if full facts are not yet available, rather than waiting.</w:t>
      </w:r>
    </w:p>
    <w:p>
      <w:pPr>
        <w:pStyle w:val="ListBullet"/>
        <w:spacing w:after="40"/>
      </w:pPr>
      <w:r>
        <w:rPr>
          <w:rFonts w:ascii="Calibri" w:hAnsi="Calibri" w:cs="Calibri" w:eastAsia="Calibri"/>
          <w:b w:val="0"/>
          <w:i w:val="0"/>
          <w:sz w:val="21"/>
          <w:szCs w:val="21"/>
        </w:rPr>
        <w:t>Coordinate PDPA notification with CII reporting so messages are consistent.</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Waiting for the forensic report before assessing notification, missing the 72-hour window.</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RS.MA-03: Incidents are categorized and prioritized</w:t>
            </w:r>
          </w:p>
          <w:p>
            <w:r>
              <w:rPr>
                <w:rFonts w:ascii="Calibri" w:hAnsi="Calibri" w:cs="Calibri" w:eastAsia="Calibri"/>
                <w:b w:val="0"/>
                <w:i w:val="0"/>
                <w:sz w:val="18"/>
                <w:szCs w:val="18"/>
              </w:rPr>
              <w:t>RS.AN-08: An incident's magnitude is estimated and validated</w:t>
            </w:r>
          </w:p>
          <w:p>
            <w:r>
              <w:rPr>
                <w:rFonts w:ascii="Calibri" w:hAnsi="Calibri" w:cs="Calibri" w:eastAsia="Calibri"/>
                <w:b w:val="0"/>
                <w:i w:val="0"/>
                <w:sz w:val="18"/>
                <w:szCs w:val="18"/>
              </w:rPr>
              <w:t>RS.CO-02: Internal and external stakeholders are notified of incidents</w:t>
            </w:r>
          </w:p>
          <w:p>
            <w:r>
              <w:rPr>
                <w:rFonts w:ascii="Calibri" w:hAnsi="Calibri" w:cs="Calibri" w:eastAsia="Calibri"/>
                <w:b w:val="0"/>
                <w:i w:val="0"/>
                <w:sz w:val="18"/>
                <w:szCs w:val="18"/>
              </w:rPr>
              <w:t>RS.CO-03: Information is shared with designated internal and external stakeholders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A.5.26, Annex A.5.34</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IR-4, IR-6</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PDPA s.37(4); PDPC Notification on Breach Notification Criteria B.E. 2565 [VERIFY]</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RS-PRC-001: Incident Handling Procedure</w:t>
            </w:r>
          </w:p>
          <w:p>
            <w:r>
              <w:rPr>
                <w:rFonts w:ascii="Calibri" w:hAnsi="Calibri" w:cs="Calibri" w:eastAsia="Calibri"/>
                <w:b w:val="0"/>
                <w:i w:val="0"/>
                <w:sz w:val="18"/>
                <w:szCs w:val="18"/>
              </w:rPr>
              <w:t>GV-POL-004: Personal Data Protection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RS-PLB-003  |  Personal Data Breach Response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