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Cybersecurity Incident Response Plan</w:t>
      </w:r>
    </w:p>
    <w:p>
      <w:pPr>
        <w:spacing w:after="80" w:before="0"/>
      </w:pPr>
      <w:r>
        <w:rPr>
          <w:rFonts w:ascii="Calibri" w:hAnsi="Calibri" w:cs="Calibri" w:eastAsia="Calibri"/>
          <w:b w:val="0"/>
          <w:i w:val="0"/>
          <w:color w:val="595959"/>
          <w:sz w:val="18"/>
          <w:szCs w:val="18"/>
        </w:rPr>
        <w:t>RS-PLN-001  |  Plan  |  Incident Management (RS.MA)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RS-PLN-001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Cybersecurity Incident Response Plan</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14 March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14 March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Plan</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Respond (RS)</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Management (RS.MA)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CII</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CSA s.44 (incident response plan within the code of practice) and s.58; ISO/IEC 27001:2022 Annex A 5.24; NIST SP 800-61 Rev. 3</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Required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24 March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14 March 2026</w:t>
            </w:r>
          </w:p>
        </w:tc>
        <w:tc>
          <w:tcPr>
            <w:tcW w:type="dxa" w:w="3742"/>
          </w:tcPr>
          <w:p>
            <w:r/>
            <w:r>
              <w:rPr>
                <w:rFonts w:ascii="Calibri" w:hAnsi="Calibri" w:cs="Calibri" w:eastAsia="Calibri"/>
                <w:b w:val="0"/>
                <w:i w:val="0"/>
                <w:sz w:val="18"/>
                <w:szCs w:val="18"/>
              </w:rPr>
              <w:t>Updated in March 2026 after EX-2026-01 to name night-time decision authority for notifications and to add the clinical liaison role.</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plan defines how Chaophraya Medical Center (CMC) prepares for, responds to, and coordinates cybersecurity incidents, including roles, decision authority, communication, third-party coordination, and the hand-off to recovery (RS.MA, RS.CO; NIST SP 800-61 Rev. 3; CSA s.44).</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plan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Incident Response Team and Authority</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team roles and who decides what during an incident.</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984"/>
        <w:gridCol w:w="2268"/>
        <w:gridCol w:w="5103"/>
      </w:tblGrid>
      <w:tr>
        <w:trPr>
          <w:tblHeader w:val="true"/>
        </w:trPr>
        <w:tc>
          <w:tcPr>
            <w:tcW w:type="dxa" w:w="1984"/>
            <w:shd w:val="clear" w:color="auto" w:fill="1F3864"/>
          </w:tcPr>
          <w:p>
            <w:r/>
            <w:r>
              <w:rPr>
                <w:rFonts w:ascii="Calibri" w:hAnsi="Calibri" w:cs="Calibri" w:eastAsia="Calibri"/>
                <w:b/>
                <w:i w:val="0"/>
                <w:color w:val="FFFFFF"/>
                <w:sz w:val="18"/>
                <w:szCs w:val="18"/>
                <w:bCs/>
              </w:rPr>
              <w:t>Role</w:t>
            </w:r>
          </w:p>
        </w:tc>
        <w:tc>
          <w:tcPr>
            <w:tcW w:type="dxa" w:w="2268"/>
            <w:shd w:val="clear" w:color="auto" w:fill="1F3864"/>
          </w:tcPr>
          <w:p>
            <w:r/>
            <w:r>
              <w:rPr>
                <w:rFonts w:ascii="Calibri" w:hAnsi="Calibri" w:cs="Calibri" w:eastAsia="Calibri"/>
                <w:b/>
                <w:i w:val="0"/>
                <w:color w:val="FFFFFF"/>
                <w:sz w:val="18"/>
                <w:szCs w:val="18"/>
                <w:bCs/>
              </w:rPr>
              <w:t>Who at CMC</w:t>
            </w:r>
          </w:p>
        </w:tc>
        <w:tc>
          <w:tcPr>
            <w:tcW w:type="dxa" w:w="5102"/>
            <w:shd w:val="clear" w:color="auto" w:fill="1F3864"/>
          </w:tcPr>
          <w:p>
            <w:r/>
            <w:r>
              <w:rPr>
                <w:rFonts w:ascii="Calibri" w:hAnsi="Calibri" w:cs="Calibri" w:eastAsia="Calibri"/>
                <w:b/>
                <w:i w:val="0"/>
                <w:color w:val="FFFFFF"/>
                <w:sz w:val="18"/>
                <w:szCs w:val="18"/>
                <w:bCs/>
              </w:rPr>
              <w:t>Authority and responsibility</w:t>
            </w:r>
          </w:p>
        </w:tc>
      </w:tr>
      <w:tr>
        <w:tc>
          <w:tcPr>
            <w:tcW w:type="dxa" w:w="1984"/>
          </w:tcPr>
          <w:p>
            <w:r/>
            <w:r>
              <w:rPr>
                <w:rFonts w:ascii="Calibri" w:hAnsi="Calibri" w:cs="Calibri" w:eastAsia="Calibri"/>
                <w:b w:val="0"/>
                <w:i w:val="0"/>
                <w:sz w:val="18"/>
                <w:szCs w:val="18"/>
              </w:rPr>
              <w:t>Incident Commander</w:t>
            </w:r>
          </w:p>
        </w:tc>
        <w:tc>
          <w:tcPr>
            <w:tcW w:type="dxa" w:w="2268"/>
          </w:tcPr>
          <w:p>
            <w:r/>
            <w:r>
              <w:rPr>
                <w:rFonts w:ascii="Calibri" w:hAnsi="Calibri" w:cs="Calibri" w:eastAsia="Calibri"/>
                <w:b w:val="0"/>
                <w:i w:val="0"/>
                <w:sz w:val="18"/>
                <w:szCs w:val="18"/>
              </w:rPr>
              <w:t>Security Manager (deputy: IT Infrastructure Manager)</w:t>
            </w:r>
          </w:p>
        </w:tc>
        <w:tc>
          <w:tcPr>
            <w:tcW w:type="dxa" w:w="5102"/>
          </w:tcPr>
          <w:p>
            <w:r/>
            <w:r>
              <w:rPr>
                <w:rFonts w:ascii="Calibri" w:hAnsi="Calibri" w:cs="Calibri" w:eastAsia="Calibri"/>
                <w:b w:val="0"/>
                <w:i w:val="0"/>
                <w:sz w:val="18"/>
                <w:szCs w:val="18"/>
              </w:rPr>
              <w:t>Leads response; may isolate systems and disable accounts at any hour</w:t>
            </w:r>
          </w:p>
        </w:tc>
      </w:tr>
      <w:tr>
        <w:tc>
          <w:tcPr>
            <w:tcW w:type="dxa" w:w="1984"/>
          </w:tcPr>
          <w:p>
            <w:r/>
            <w:r>
              <w:rPr>
                <w:rFonts w:ascii="Calibri" w:hAnsi="Calibri" w:cs="Calibri" w:eastAsia="Calibri"/>
                <w:b w:val="0"/>
                <w:i w:val="0"/>
                <w:sz w:val="18"/>
                <w:szCs w:val="18"/>
              </w:rPr>
              <w:t>Executive sponsor</w:t>
            </w:r>
          </w:p>
        </w:tc>
        <w:tc>
          <w:tcPr>
            <w:tcW w:type="dxa" w:w="2268"/>
          </w:tcPr>
          <w:p>
            <w:r/>
            <w:r>
              <w:rPr>
                <w:rFonts w:ascii="Calibri" w:hAnsi="Calibri" w:cs="Calibri" w:eastAsia="Calibri"/>
                <w:b w:val="0"/>
                <w:i w:val="0"/>
                <w:sz w:val="18"/>
                <w:szCs w:val="18"/>
              </w:rPr>
              <w:t>CEO (deputy: CIO)</w:t>
            </w:r>
          </w:p>
        </w:tc>
        <w:tc>
          <w:tcPr>
            <w:tcW w:type="dxa" w:w="5102"/>
          </w:tcPr>
          <w:p>
            <w:r/>
            <w:r>
              <w:rPr>
                <w:rFonts w:ascii="Calibri" w:hAnsi="Calibri" w:cs="Calibri" w:eastAsia="Calibri"/>
                <w:b w:val="0"/>
                <w:i w:val="0"/>
                <w:sz w:val="18"/>
                <w:szCs w:val="18"/>
              </w:rPr>
              <w:t>Decides on clinical system shutdown with the Medical Director; approves external statements</w:t>
            </w:r>
          </w:p>
        </w:tc>
      </w:tr>
      <w:tr>
        <w:tc>
          <w:tcPr>
            <w:tcW w:type="dxa" w:w="1984"/>
          </w:tcPr>
          <w:p>
            <w:r/>
            <w:r>
              <w:rPr>
                <w:rFonts w:ascii="Calibri" w:hAnsi="Calibri" w:cs="Calibri" w:eastAsia="Calibri"/>
                <w:b w:val="0"/>
                <w:i w:val="0"/>
                <w:sz w:val="18"/>
                <w:szCs w:val="18"/>
              </w:rPr>
              <w:t>Clinical liaison</w:t>
            </w:r>
          </w:p>
        </w:tc>
        <w:tc>
          <w:tcPr>
            <w:tcW w:type="dxa" w:w="2268"/>
          </w:tcPr>
          <w:p>
            <w:r/>
            <w:r>
              <w:rPr>
                <w:rFonts w:ascii="Calibri" w:hAnsi="Calibri" w:cs="Calibri" w:eastAsia="Calibri"/>
                <w:b w:val="0"/>
                <w:i w:val="0"/>
                <w:sz w:val="18"/>
                <w:szCs w:val="18"/>
              </w:rPr>
              <w:t>Medical Director and nursing supervisor on duty</w:t>
            </w:r>
          </w:p>
        </w:tc>
        <w:tc>
          <w:tcPr>
            <w:tcW w:type="dxa" w:w="5102"/>
          </w:tcPr>
          <w:p>
            <w:r/>
            <w:r>
              <w:rPr>
                <w:rFonts w:ascii="Calibri" w:hAnsi="Calibri" w:cs="Calibri" w:eastAsia="Calibri"/>
                <w:b w:val="0"/>
                <w:i w:val="0"/>
                <w:sz w:val="18"/>
                <w:szCs w:val="18"/>
              </w:rPr>
              <w:t>Activates downtime procedures and patient safety measures</w:t>
            </w:r>
          </w:p>
        </w:tc>
      </w:tr>
      <w:tr>
        <w:tc>
          <w:tcPr>
            <w:tcW w:type="dxa" w:w="1984"/>
          </w:tcPr>
          <w:p>
            <w:r/>
            <w:r>
              <w:rPr>
                <w:rFonts w:ascii="Calibri" w:hAnsi="Calibri" w:cs="Calibri" w:eastAsia="Calibri"/>
                <w:b w:val="0"/>
                <w:i w:val="0"/>
                <w:sz w:val="18"/>
                <w:szCs w:val="18"/>
              </w:rPr>
              <w:t>Technical lead</w:t>
            </w:r>
          </w:p>
        </w:tc>
        <w:tc>
          <w:tcPr>
            <w:tcW w:type="dxa" w:w="2268"/>
          </w:tcPr>
          <w:p>
            <w:r/>
            <w:r>
              <w:rPr>
                <w:rFonts w:ascii="Calibri" w:hAnsi="Calibri" w:cs="Calibri" w:eastAsia="Calibri"/>
                <w:b w:val="0"/>
                <w:i w:val="0"/>
                <w:sz w:val="18"/>
                <w:szCs w:val="18"/>
              </w:rPr>
              <w:t>IT Infrastructure Manager</w:t>
            </w:r>
          </w:p>
        </w:tc>
        <w:tc>
          <w:tcPr>
            <w:tcW w:type="dxa" w:w="5102"/>
          </w:tcPr>
          <w:p>
            <w:r/>
            <w:r>
              <w:rPr>
                <w:rFonts w:ascii="Calibri" w:hAnsi="Calibri" w:cs="Calibri" w:eastAsia="Calibri"/>
                <w:b w:val="0"/>
                <w:i w:val="0"/>
                <w:sz w:val="18"/>
                <w:szCs w:val="18"/>
              </w:rPr>
              <w:t>Containment, eradication, recovery</w:t>
            </w:r>
          </w:p>
        </w:tc>
      </w:tr>
      <w:tr>
        <w:tc>
          <w:tcPr>
            <w:tcW w:type="dxa" w:w="1984"/>
          </w:tcPr>
          <w:p>
            <w:r/>
            <w:r>
              <w:rPr>
                <w:rFonts w:ascii="Calibri" w:hAnsi="Calibri" w:cs="Calibri" w:eastAsia="Calibri"/>
                <w:b w:val="0"/>
                <w:i w:val="0"/>
                <w:sz w:val="18"/>
                <w:szCs w:val="18"/>
              </w:rPr>
              <w:t>Privacy lead</w:t>
            </w:r>
          </w:p>
        </w:tc>
        <w:tc>
          <w:tcPr>
            <w:tcW w:type="dxa" w:w="2268"/>
          </w:tcPr>
          <w:p>
            <w:r/>
            <w:r>
              <w:rPr>
                <w:rFonts w:ascii="Calibri" w:hAnsi="Calibri" w:cs="Calibri" w:eastAsia="Calibri"/>
                <w:b w:val="0"/>
                <w:i w:val="0"/>
                <w:sz w:val="18"/>
                <w:szCs w:val="18"/>
              </w:rPr>
              <w:t>DPO</w:t>
            </w:r>
          </w:p>
        </w:tc>
        <w:tc>
          <w:tcPr>
            <w:tcW w:type="dxa" w:w="5102"/>
          </w:tcPr>
          <w:p>
            <w:r/>
            <w:r>
              <w:rPr>
                <w:rFonts w:ascii="Calibri" w:hAnsi="Calibri" w:cs="Calibri" w:eastAsia="Calibri"/>
                <w:b w:val="0"/>
                <w:i w:val="0"/>
                <w:sz w:val="18"/>
                <w:szCs w:val="18"/>
              </w:rPr>
              <w:t>Breach assessment; PDPC notification within 72 hours</w:t>
            </w:r>
          </w:p>
        </w:tc>
      </w:tr>
      <w:tr>
        <w:tc>
          <w:tcPr>
            <w:tcW w:type="dxa" w:w="1984"/>
          </w:tcPr>
          <w:p>
            <w:r/>
            <w:r>
              <w:rPr>
                <w:rFonts w:ascii="Calibri" w:hAnsi="Calibri" w:cs="Calibri" w:eastAsia="Calibri"/>
                <w:b w:val="0"/>
                <w:i w:val="0"/>
                <w:sz w:val="18"/>
                <w:szCs w:val="18"/>
              </w:rPr>
              <w:t>Legal</w:t>
            </w:r>
          </w:p>
        </w:tc>
        <w:tc>
          <w:tcPr>
            <w:tcW w:type="dxa" w:w="2268"/>
          </w:tcPr>
          <w:p>
            <w:r/>
            <w:r>
              <w:rPr>
                <w:rFonts w:ascii="Calibri" w:hAnsi="Calibri" w:cs="Calibri" w:eastAsia="Calibri"/>
                <w:b w:val="0"/>
                <w:i w:val="0"/>
                <w:sz w:val="18"/>
                <w:szCs w:val="18"/>
              </w:rPr>
              <w:t>Legal Counsel</w:t>
            </w:r>
          </w:p>
        </w:tc>
        <w:tc>
          <w:tcPr>
            <w:tcW w:type="dxa" w:w="5102"/>
          </w:tcPr>
          <w:p>
            <w:r/>
            <w:r>
              <w:rPr>
                <w:rFonts w:ascii="Calibri" w:hAnsi="Calibri" w:cs="Calibri" w:eastAsia="Calibri"/>
                <w:b w:val="0"/>
                <w:i w:val="0"/>
                <w:sz w:val="18"/>
                <w:szCs w:val="18"/>
              </w:rPr>
              <w:t>Police reports, legal privilege, vendor contracts</w:t>
            </w:r>
          </w:p>
        </w:tc>
      </w:tr>
      <w:tr>
        <w:tc>
          <w:tcPr>
            <w:tcW w:type="dxa" w:w="1984"/>
          </w:tcPr>
          <w:p>
            <w:r/>
            <w:r>
              <w:rPr>
                <w:rFonts w:ascii="Calibri" w:hAnsi="Calibri" w:cs="Calibri" w:eastAsia="Calibri"/>
                <w:b w:val="0"/>
                <w:i w:val="0"/>
                <w:sz w:val="18"/>
                <w:szCs w:val="18"/>
              </w:rPr>
              <w:t>Communications</w:t>
            </w:r>
          </w:p>
        </w:tc>
        <w:tc>
          <w:tcPr>
            <w:tcW w:type="dxa" w:w="2268"/>
          </w:tcPr>
          <w:p>
            <w:r/>
            <w:r>
              <w:rPr>
                <w:rFonts w:ascii="Calibri" w:hAnsi="Calibri" w:cs="Calibri" w:eastAsia="Calibri"/>
                <w:b w:val="0"/>
                <w:i w:val="0"/>
                <w:sz w:val="18"/>
                <w:szCs w:val="18"/>
              </w:rPr>
              <w:t>Corporate Communications Manager</w:t>
            </w:r>
          </w:p>
        </w:tc>
        <w:tc>
          <w:tcPr>
            <w:tcW w:type="dxa" w:w="5102"/>
          </w:tcPr>
          <w:p>
            <w:r/>
            <w:r>
              <w:rPr>
                <w:rFonts w:ascii="Calibri" w:hAnsi="Calibri" w:cs="Calibri" w:eastAsia="Calibri"/>
                <w:b w:val="0"/>
                <w:i w:val="0"/>
                <w:sz w:val="18"/>
                <w:szCs w:val="18"/>
              </w:rPr>
              <w:t>Staff, patient, and media messages</w:t>
            </w:r>
          </w:p>
        </w:tc>
      </w:tr>
      <w:tr>
        <w:tc>
          <w:tcPr>
            <w:tcW w:type="dxa" w:w="1984"/>
          </w:tcPr>
          <w:p>
            <w:r/>
            <w:r>
              <w:rPr>
                <w:rFonts w:ascii="Calibri" w:hAnsi="Calibri" w:cs="Calibri" w:eastAsia="Calibri"/>
                <w:b w:val="0"/>
                <w:i w:val="0"/>
                <w:sz w:val="18"/>
                <w:szCs w:val="18"/>
              </w:rPr>
              <w:t>MSSP and IR retainer</w:t>
            </w:r>
          </w:p>
        </w:tc>
        <w:tc>
          <w:tcPr>
            <w:tcW w:type="dxa" w:w="2268"/>
          </w:tcPr>
          <w:p>
            <w:r/>
            <w:r>
              <w:rPr>
                <w:rFonts w:ascii="Calibri" w:hAnsi="Calibri" w:cs="Calibri" w:eastAsia="Calibri"/>
                <w:b w:val="0"/>
                <w:i w:val="0"/>
                <w:sz w:val="18"/>
                <w:szCs w:val="18"/>
              </w:rPr>
              <w:t>MSSP Vendor E</w:t>
            </w:r>
          </w:p>
        </w:tc>
        <w:tc>
          <w:tcPr>
            <w:tcW w:type="dxa" w:w="5102"/>
          </w:tcPr>
          <w:p>
            <w:r/>
            <w:r>
              <w:rPr>
                <w:rFonts w:ascii="Calibri" w:hAnsi="Calibri" w:cs="Calibri" w:eastAsia="Calibri"/>
                <w:b w:val="0"/>
                <w:i w:val="0"/>
                <w:sz w:val="18"/>
                <w:szCs w:val="18"/>
              </w:rPr>
              <w:t>24x7 monitoring, forensics, surge support within 4 hours on site</w:t>
            </w:r>
          </w:p>
        </w:tc>
      </w:tr>
    </w:tbl>
    <w:p>
      <w:pPr>
        <w:spacing w:after="40"/>
      </w:pPr>
    </w:p>
    <w:p>
      <w:pPr>
        <w:pStyle w:val="Heading2"/>
        <w:keepNext/>
        <w:spacing w:before="120" w:after="80"/>
      </w:pPr>
      <w:r>
        <w:rPr>
          <w:rFonts w:ascii="Calibri" w:hAnsi="Calibri" w:cs="Calibri" w:eastAsia="Calibri"/>
          <w:b/>
          <w:i w:val="0"/>
          <w:color w:val="1F3864"/>
          <w:sz w:val="24"/>
          <w:szCs w:val="24"/>
          <w:bCs/>
        </w:rPr>
        <w:t>4.4 Response Phases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response phases aligned with NIST SP 800-61 Rev. 3 and CSF 2.0 functions.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984"/>
        <w:gridCol w:w="3969"/>
        <w:gridCol w:w="3402"/>
      </w:tblGrid>
      <w:tr>
        <w:trPr>
          <w:tblHeader w:val="true"/>
        </w:trPr>
        <w:tc>
          <w:tcPr>
            <w:tcW w:type="dxa" w:w="1984"/>
            <w:shd w:val="clear" w:color="auto" w:fill="1F3864"/>
          </w:tcPr>
          <w:p>
            <w:r/>
            <w:r>
              <w:rPr>
                <w:rFonts w:ascii="Calibri" w:hAnsi="Calibri" w:cs="Calibri" w:eastAsia="Calibri"/>
                <w:b/>
                <w:i w:val="0"/>
                <w:color w:val="FFFFFF"/>
                <w:sz w:val="18"/>
                <w:szCs w:val="18"/>
                <w:bCs/>
              </w:rPr>
              <w:t>Phase</w:t>
            </w:r>
          </w:p>
        </w:tc>
        <w:tc>
          <w:tcPr>
            <w:tcW w:type="dxa" w:w="3969"/>
            <w:shd w:val="clear" w:color="auto" w:fill="1F3864"/>
          </w:tcPr>
          <w:p>
            <w:r/>
            <w:r>
              <w:rPr>
                <w:rFonts w:ascii="Calibri" w:hAnsi="Calibri" w:cs="Calibri" w:eastAsia="Calibri"/>
                <w:b/>
                <w:i w:val="0"/>
                <w:color w:val="FFFFFF"/>
                <w:sz w:val="18"/>
                <w:szCs w:val="18"/>
                <w:bCs/>
              </w:rPr>
              <w:t>Key activities</w:t>
            </w:r>
          </w:p>
        </w:tc>
        <w:tc>
          <w:tcPr>
            <w:tcW w:type="dxa" w:w="3402"/>
            <w:shd w:val="clear" w:color="auto" w:fill="1F3864"/>
          </w:tcPr>
          <w:p>
            <w:r/>
            <w:r>
              <w:rPr>
                <w:rFonts w:ascii="Calibri" w:hAnsi="Calibri" w:cs="Calibri" w:eastAsia="Calibri"/>
                <w:b/>
                <w:i w:val="0"/>
                <w:color w:val="FFFFFF"/>
                <w:sz w:val="18"/>
                <w:szCs w:val="18"/>
                <w:bCs/>
              </w:rPr>
              <w:t>Document</w:t>
            </w:r>
          </w:p>
        </w:tc>
      </w:tr>
      <w:tr>
        <w:tc>
          <w:tcPr>
            <w:tcW w:type="dxa" w:w="1984"/>
          </w:tcPr>
          <w:p>
            <w:r/>
            <w:r>
              <w:rPr>
                <w:rFonts w:ascii="Calibri" w:hAnsi="Calibri" w:cs="Calibri" w:eastAsia="Calibri"/>
                <w:b w:val="0"/>
                <w:i w:val="0"/>
                <w:sz w:val="18"/>
                <w:szCs w:val="18"/>
              </w:rPr>
              <w:t>Prepare (GV, ID, PR)</w:t>
            </w:r>
          </w:p>
        </w:tc>
        <w:tc>
          <w:tcPr>
            <w:tcW w:type="dxa" w:w="3969"/>
          </w:tcPr>
          <w:p>
            <w:r/>
            <w:r>
              <w:rPr>
                <w:rFonts w:ascii="Calibri" w:hAnsi="Calibri" w:cs="Calibri" w:eastAsia="Calibri"/>
                <w:b w:val="0"/>
                <w:i w:val="0"/>
                <w:sz w:val="18"/>
                <w:szCs w:val="18"/>
              </w:rPr>
              <w:t>Plans, contacts, tools, training, exercises</w:t>
            </w:r>
          </w:p>
        </w:tc>
        <w:tc>
          <w:tcPr>
            <w:tcW w:type="dxa" w:w="3402"/>
          </w:tcPr>
          <w:p>
            <w:r/>
            <w:r>
              <w:rPr>
                <w:rFonts w:ascii="Calibri" w:hAnsi="Calibri" w:cs="Calibri" w:eastAsia="Calibri"/>
                <w:b w:val="0"/>
                <w:i w:val="0"/>
                <w:sz w:val="18"/>
                <w:szCs w:val="18"/>
              </w:rPr>
              <w:t>This plan, RS-REG-002, ID-PLN-002</w:t>
            </w:r>
          </w:p>
        </w:tc>
      </w:tr>
      <w:tr>
        <w:tc>
          <w:tcPr>
            <w:tcW w:type="dxa" w:w="1984"/>
          </w:tcPr>
          <w:p>
            <w:r/>
            <w:r>
              <w:rPr>
                <w:rFonts w:ascii="Calibri" w:hAnsi="Calibri" w:cs="Calibri" w:eastAsia="Calibri"/>
                <w:b w:val="0"/>
                <w:i w:val="0"/>
                <w:sz w:val="18"/>
                <w:szCs w:val="18"/>
              </w:rPr>
              <w:t>Detect and analyze (DE)</w:t>
            </w:r>
          </w:p>
        </w:tc>
        <w:tc>
          <w:tcPr>
            <w:tcW w:type="dxa" w:w="3969"/>
          </w:tcPr>
          <w:p>
            <w:r/>
            <w:r>
              <w:rPr>
                <w:rFonts w:ascii="Calibri" w:hAnsi="Calibri" w:cs="Calibri" w:eastAsia="Calibri"/>
                <w:b w:val="0"/>
                <w:i w:val="0"/>
                <w:sz w:val="18"/>
                <w:szCs w:val="18"/>
              </w:rPr>
              <w:t>Triage, declare, classify severity</w:t>
            </w:r>
          </w:p>
        </w:tc>
        <w:tc>
          <w:tcPr>
            <w:tcW w:type="dxa" w:w="3402"/>
          </w:tcPr>
          <w:p>
            <w:r/>
            <w:r>
              <w:rPr>
                <w:rFonts w:ascii="Calibri" w:hAnsi="Calibri" w:cs="Calibri" w:eastAsia="Calibri"/>
                <w:b w:val="0"/>
                <w:i w:val="0"/>
                <w:sz w:val="18"/>
                <w:szCs w:val="18"/>
              </w:rPr>
              <w:t>DE-PRC-002, DE-STD-002</w:t>
            </w:r>
          </w:p>
        </w:tc>
      </w:tr>
      <w:tr>
        <w:tc>
          <w:tcPr>
            <w:tcW w:type="dxa" w:w="1984"/>
          </w:tcPr>
          <w:p>
            <w:r/>
            <w:r>
              <w:rPr>
                <w:rFonts w:ascii="Calibri" w:hAnsi="Calibri" w:cs="Calibri" w:eastAsia="Calibri"/>
                <w:b w:val="0"/>
                <w:i w:val="0"/>
                <w:sz w:val="18"/>
                <w:szCs w:val="18"/>
              </w:rPr>
              <w:t>Respond (RS)</w:t>
            </w:r>
          </w:p>
        </w:tc>
        <w:tc>
          <w:tcPr>
            <w:tcW w:type="dxa" w:w="3969"/>
          </w:tcPr>
          <w:p>
            <w:r/>
            <w:r>
              <w:rPr>
                <w:rFonts w:ascii="Calibri" w:hAnsi="Calibri" w:cs="Calibri" w:eastAsia="Calibri"/>
                <w:b w:val="0"/>
                <w:i w:val="0"/>
                <w:sz w:val="18"/>
                <w:szCs w:val="18"/>
              </w:rPr>
              <w:t>Contain, eradicate, investigate, notify</w:t>
            </w:r>
          </w:p>
        </w:tc>
        <w:tc>
          <w:tcPr>
            <w:tcW w:type="dxa" w:w="3402"/>
          </w:tcPr>
          <w:p>
            <w:r/>
            <w:r>
              <w:rPr>
                <w:rFonts w:ascii="Calibri" w:hAnsi="Calibri" w:cs="Calibri" w:eastAsia="Calibri"/>
                <w:b w:val="0"/>
                <w:i w:val="0"/>
                <w:sz w:val="18"/>
                <w:szCs w:val="18"/>
              </w:rPr>
              <w:t>RS-PRC-001, playbooks, RS-PRC-002, RS-PRC-003</w:t>
            </w:r>
          </w:p>
        </w:tc>
      </w:tr>
      <w:tr>
        <w:tc>
          <w:tcPr>
            <w:tcW w:type="dxa" w:w="1984"/>
          </w:tcPr>
          <w:p>
            <w:r/>
            <w:r>
              <w:rPr>
                <w:rFonts w:ascii="Calibri" w:hAnsi="Calibri" w:cs="Calibri" w:eastAsia="Calibri"/>
                <w:b w:val="0"/>
                <w:i w:val="0"/>
                <w:sz w:val="18"/>
                <w:szCs w:val="18"/>
              </w:rPr>
              <w:t>Recover (RC)</w:t>
            </w:r>
          </w:p>
        </w:tc>
        <w:tc>
          <w:tcPr>
            <w:tcW w:type="dxa" w:w="3969"/>
          </w:tcPr>
          <w:p>
            <w:r/>
            <w:r>
              <w:rPr>
                <w:rFonts w:ascii="Calibri" w:hAnsi="Calibri" w:cs="Calibri" w:eastAsia="Calibri"/>
                <w:b w:val="0"/>
                <w:i w:val="0"/>
                <w:sz w:val="18"/>
                <w:szCs w:val="18"/>
              </w:rPr>
              <w:t>Restore, validate, declare end of recovery</w:t>
            </w:r>
          </w:p>
        </w:tc>
        <w:tc>
          <w:tcPr>
            <w:tcW w:type="dxa" w:w="3402"/>
          </w:tcPr>
          <w:p>
            <w:r/>
            <w:r>
              <w:rPr>
                <w:rFonts w:ascii="Calibri" w:hAnsi="Calibri" w:cs="Calibri" w:eastAsia="Calibri"/>
                <w:b w:val="0"/>
                <w:i w:val="0"/>
                <w:sz w:val="18"/>
                <w:szCs w:val="18"/>
              </w:rPr>
              <w:t>RC-PLN-002, RC-FRM-001</w:t>
            </w:r>
          </w:p>
        </w:tc>
      </w:tr>
      <w:tr>
        <w:tc>
          <w:tcPr>
            <w:tcW w:type="dxa" w:w="1984"/>
          </w:tcPr>
          <w:p>
            <w:r/>
            <w:r>
              <w:rPr>
                <w:rFonts w:ascii="Calibri" w:hAnsi="Calibri" w:cs="Calibri" w:eastAsia="Calibri"/>
                <w:b w:val="0"/>
                <w:i w:val="0"/>
                <w:sz w:val="18"/>
                <w:szCs w:val="18"/>
              </w:rPr>
              <w:t>Improve (ID.IM)</w:t>
            </w:r>
          </w:p>
        </w:tc>
        <w:tc>
          <w:tcPr>
            <w:tcW w:type="dxa" w:w="3969"/>
          </w:tcPr>
          <w:p>
            <w:r/>
            <w:r>
              <w:rPr>
                <w:rFonts w:ascii="Calibri" w:hAnsi="Calibri" w:cs="Calibri" w:eastAsia="Calibri"/>
                <w:b w:val="0"/>
                <w:i w:val="0"/>
                <w:sz w:val="18"/>
                <w:szCs w:val="18"/>
              </w:rPr>
              <w:t>Lessons learned, plan updates</w:t>
            </w:r>
          </w:p>
        </w:tc>
        <w:tc>
          <w:tcPr>
            <w:tcW w:type="dxa" w:w="3402"/>
          </w:tcPr>
          <w:p>
            <w:r/>
            <w:r>
              <w:rPr>
                <w:rFonts w:ascii="Calibri" w:hAnsi="Calibri" w:cs="Calibri" w:eastAsia="Calibri"/>
                <w:b w:val="0"/>
                <w:i w:val="0"/>
                <w:sz w:val="18"/>
                <w:szCs w:val="18"/>
              </w:rPr>
              <w:t>ID-TPL-001, ID-REG-007</w:t>
            </w:r>
          </w:p>
        </w:tc>
      </w:tr>
    </w:tbl>
    <w:p>
      <w:pPr>
        <w:spacing w:after="40"/>
      </w:pPr>
    </w:p>
    <w:p>
      <w:pPr>
        <w:pStyle w:val="Heading2"/>
        <w:keepNext/>
        <w:spacing w:before="120" w:after="80"/>
      </w:pPr>
      <w:r>
        <w:rPr>
          <w:rFonts w:ascii="Calibri" w:hAnsi="Calibri" w:cs="Calibri" w:eastAsia="Calibri"/>
          <w:b/>
          <w:i w:val="0"/>
          <w:color w:val="1F3864"/>
          <w:sz w:val="24"/>
          <w:szCs w:val="24"/>
          <w:bCs/>
        </w:rPr>
        <w:t>4.5 Escalation and Recovery Criteria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escalation triggers and the criteria to start recovery (RS.MA-04, RS.MA-05).</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Escalate to the executive sponsor for any SEV-1, any incident needing regulatory notification, or any decision to shut down a critical service.</w:t>
      </w:r>
    </w:p>
    <w:p>
      <w:pPr>
        <w:pStyle w:val="ListBullet"/>
        <w:spacing w:after="40"/>
      </w:pPr>
      <w:r>
        <w:rPr>
          <w:rFonts w:ascii="Calibri" w:hAnsi="Calibri" w:cs="Calibri" w:eastAsia="Calibri"/>
          <w:b w:val="0"/>
          <w:i w:val="0"/>
          <w:sz w:val="21"/>
          <w:szCs w:val="21"/>
        </w:rPr>
        <w:t>Activate the Crisis Management Plan (RC-PLN-003) when impact spreads beyond IT.</w:t>
      </w:r>
    </w:p>
    <w:p>
      <w:pPr>
        <w:pStyle w:val="ListBullet"/>
        <w:spacing w:after="40"/>
      </w:pPr>
      <w:r>
        <w:rPr>
          <w:rFonts w:ascii="Calibri" w:hAnsi="Calibri" w:cs="Calibri" w:eastAsia="Calibri"/>
          <w:b w:val="0"/>
          <w:i w:val="0"/>
          <w:sz w:val="21"/>
          <w:szCs w:val="21"/>
        </w:rPr>
        <w:t>Start recovery only when the threat is contained, the root access path is closed, and clean restore points are confirmed.</w:t>
      </w:r>
    </w:p>
    <w:p>
      <w:pPr>
        <w:pStyle w:val="Heading2"/>
        <w:keepNext/>
        <w:spacing w:before="120" w:after="80"/>
      </w:pPr>
      <w:r>
        <w:rPr>
          <w:rFonts w:ascii="Calibri" w:hAnsi="Calibri" w:cs="Calibri" w:eastAsia="Calibri"/>
          <w:b/>
          <w:i w:val="0"/>
          <w:color w:val="1F3864"/>
          <w:sz w:val="24"/>
          <w:szCs w:val="24"/>
          <w:bCs/>
        </w:rPr>
        <w:t>4.6 Third-Party Coordination</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coordination with suppliers, law enforcement, regulators, and peers (RS.MA-01, GV.SC-08).</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Engage critical suppliers named in RS-REG-002 according to contract clause SC-07 (GV-STD-002).</w:t>
      </w:r>
    </w:p>
    <w:p>
      <w:pPr>
        <w:pStyle w:val="ListBullet"/>
        <w:spacing w:after="40"/>
      </w:pPr>
      <w:r>
        <w:rPr>
          <w:rFonts w:ascii="Calibri" w:hAnsi="Calibri" w:cs="Calibri" w:eastAsia="Calibri"/>
          <w:b w:val="0"/>
          <w:i w:val="0"/>
          <w:sz w:val="21"/>
          <w:szCs w:val="21"/>
        </w:rPr>
        <w:t>Report crimes to the police or the Technology Crime Suppression Division as advised by Legal.</w:t>
      </w:r>
    </w:p>
    <w:p>
      <w:pPr>
        <w:pStyle w:val="ListBullet"/>
        <w:spacing w:after="40"/>
      </w:pPr>
      <w:r>
        <w:rPr>
          <w:rFonts w:ascii="Calibri" w:hAnsi="Calibri" w:cs="Calibri" w:eastAsia="Calibri"/>
          <w:b w:val="0"/>
          <w:i w:val="0"/>
          <w:sz w:val="21"/>
          <w:szCs w:val="21"/>
        </w:rPr>
        <w:t>Notify NCSA, the sector regulator, and the PDPC according to RS-PRC-003.</w:t>
      </w:r>
    </w:p>
    <w:p>
      <w:pPr>
        <w:pStyle w:val="ListBullet"/>
        <w:spacing w:after="40"/>
      </w:pPr>
      <w:r>
        <w:rPr>
          <w:rFonts w:ascii="Calibri" w:hAnsi="Calibri" w:cs="Calibri" w:eastAsia="Calibri"/>
          <w:b w:val="0"/>
          <w:i w:val="0"/>
          <w:sz w:val="21"/>
          <w:szCs w:val="21"/>
        </w:rPr>
        <w:t>Share indicators with ThaiCERT and sector peers where helpful.</w:t>
      </w:r>
    </w:p>
    <w:p>
      <w:pPr>
        <w:pStyle w:val="Heading2"/>
        <w:keepNext/>
        <w:spacing w:before="120" w:after="80"/>
      </w:pPr>
      <w:r>
        <w:rPr>
          <w:rFonts w:ascii="Calibri" w:hAnsi="Calibri" w:cs="Calibri" w:eastAsia="Calibri"/>
          <w:b/>
          <w:i w:val="0"/>
          <w:color w:val="1F3864"/>
          <w:sz w:val="24"/>
          <w:szCs w:val="24"/>
          <w:bCs/>
        </w:rPr>
        <w:t>4.7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RS-REG-002: Incident Response Contact List</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Decide ransom payment policy, decision authority, and legal checks before an incident, not during it.</w:t>
      </w:r>
    </w:p>
    <w:p>
      <w:pPr>
        <w:pStyle w:val="ListBullet"/>
        <w:spacing w:after="40"/>
      </w:pPr>
      <w:r>
        <w:rPr>
          <w:rFonts w:ascii="Calibri" w:hAnsi="Calibri" w:cs="Calibri" w:eastAsia="Calibri"/>
          <w:b w:val="0"/>
          <w:i w:val="0"/>
          <w:sz w:val="21"/>
          <w:szCs w:val="21"/>
        </w:rPr>
        <w:t>Keep a printed copy and an offline copy of the plan and contacts; systems may be down.</w:t>
      </w:r>
    </w:p>
    <w:p>
      <w:pPr>
        <w:pStyle w:val="ListBullet"/>
        <w:spacing w:after="40"/>
      </w:pPr>
      <w:r>
        <w:rPr>
          <w:rFonts w:ascii="Calibri" w:hAnsi="Calibri" w:cs="Calibri" w:eastAsia="Calibri"/>
          <w:b w:val="0"/>
          <w:i w:val="0"/>
          <w:sz w:val="21"/>
          <w:szCs w:val="21"/>
        </w:rPr>
        <w:t>Use out-of-band communication (for example, a separate messaging group) if email may be compromised.</w:t>
      </w:r>
    </w:p>
    <w:p>
      <w:pPr>
        <w:pStyle w:val="ListBullet"/>
        <w:spacing w:after="40"/>
      </w:pPr>
      <w:r>
        <w:rPr>
          <w:rFonts w:ascii="Calibri" w:hAnsi="Calibri" w:cs="Calibri" w:eastAsia="Calibri"/>
          <w:b w:val="0"/>
          <w:i w:val="0"/>
          <w:sz w:val="21"/>
          <w:szCs w:val="21"/>
        </w:rPr>
        <w:t>Exercise the plan at least once a year with executives.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Plan lists roles but not who can make decisions at 2 a.m.</w:t>
      </w:r>
    </w:p>
    <w:p>
      <w:pPr>
        <w:pStyle w:val="ListBullet"/>
        <w:spacing w:after="40"/>
      </w:pPr>
      <w:r>
        <w:rPr>
          <w:rFonts w:ascii="Calibri" w:hAnsi="Calibri" w:cs="Calibri" w:eastAsia="Calibri"/>
          <w:b w:val="0"/>
          <w:i w:val="0"/>
          <w:sz w:val="21"/>
          <w:szCs w:val="21"/>
        </w:rPr>
        <w:t>Plan stored only on the file server that ransomware encrypts.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RS.MA-01: The incident response plan is executed in coordination with relevant third parties once an incident is declared</w:t>
            </w:r>
          </w:p>
          <w:p>
            <w:r>
              <w:rPr>
                <w:rFonts w:ascii="Calibri" w:hAnsi="Calibri" w:cs="Calibri" w:eastAsia="Calibri"/>
                <w:b w:val="0"/>
                <w:i w:val="0"/>
                <w:sz w:val="18"/>
                <w:szCs w:val="18"/>
              </w:rPr>
              <w:t>RS.MA-04: Incidents are escalated or elevated as needed</w:t>
            </w:r>
          </w:p>
          <w:p>
            <w:r>
              <w:rPr>
                <w:rFonts w:ascii="Calibri" w:hAnsi="Calibri" w:cs="Calibri" w:eastAsia="Calibri"/>
                <w:b w:val="0"/>
                <w:i w:val="0"/>
                <w:sz w:val="18"/>
                <w:szCs w:val="18"/>
              </w:rPr>
              <w:t>RS.MA-05: The criteria for initiating incident recovery are applied</w:t>
            </w:r>
          </w:p>
          <w:p>
            <w:r>
              <w:rPr>
                <w:rFonts w:ascii="Calibri" w:hAnsi="Calibri" w:cs="Calibri" w:eastAsia="Calibri"/>
                <w:b w:val="0"/>
                <w:i w:val="0"/>
                <w:sz w:val="18"/>
                <w:szCs w:val="18"/>
              </w:rPr>
              <w:t>RS.CO-02: Internal and external stakeholders are notified of incidents</w:t>
            </w:r>
          </w:p>
          <w:p>
            <w:r>
              <w:rPr>
                <w:rFonts w:ascii="Calibri" w:hAnsi="Calibri" w:cs="Calibri" w:eastAsia="Calibri"/>
                <w:b w:val="0"/>
                <w:i w:val="0"/>
                <w:sz w:val="18"/>
                <w:szCs w:val="18"/>
              </w:rPr>
              <w:t>RS.CO-03: Information is shared with designated internal and external stakeholders</w:t>
            </w:r>
          </w:p>
          <w:p>
            <w:r>
              <w:rPr>
                <w:rFonts w:ascii="Calibri" w:hAnsi="Calibri" w:cs="Calibri" w:eastAsia="Calibri"/>
                <w:b w:val="0"/>
                <w:i w:val="0"/>
                <w:sz w:val="18"/>
                <w:szCs w:val="18"/>
              </w:rPr>
              <w:t>GV.SC-08: Relevant suppliers are included in incident planning, response, and recovery activities</w:t>
            </w:r>
          </w:p>
          <w:p>
            <w:r>
              <w:rPr>
                <w:rFonts w:ascii="Calibri" w:hAnsi="Calibri" w:cs="Calibri" w:eastAsia="Calibri"/>
                <w:b w:val="0"/>
                <w:i w:val="0"/>
                <w:sz w:val="18"/>
                <w:szCs w:val="18"/>
              </w:rPr>
              <w:t>ID.IM-04: Incident response plans and other cybersecurity plans that affect operations are established, communicated, maintained, and improved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A.5.24, Annex A.5.26</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IR-1, IR-8</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CSA s.44 (incident response plan within the code of practice) and s.58; ISO/IEC 27001:2022 Annex A 5.24; NIST SP 800-61 Rev. 3</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DE-STD-002: Incident Classification and Severity Standard</w:t>
            </w:r>
          </w:p>
          <w:p>
            <w:r>
              <w:rPr>
                <w:rFonts w:ascii="Calibri" w:hAnsi="Calibri" w:cs="Calibri" w:eastAsia="Calibri"/>
                <w:b w:val="0"/>
                <w:i w:val="0"/>
                <w:sz w:val="18"/>
                <w:szCs w:val="18"/>
              </w:rPr>
              <w:t>RS-PRC-001: Incident Handling Procedure</w:t>
            </w:r>
          </w:p>
          <w:p>
            <w:r>
              <w:rPr>
                <w:rFonts w:ascii="Calibri" w:hAnsi="Calibri" w:cs="Calibri" w:eastAsia="Calibri"/>
                <w:b w:val="0"/>
                <w:i w:val="0"/>
                <w:sz w:val="18"/>
                <w:szCs w:val="18"/>
              </w:rPr>
              <w:t>RS-REG-002: Incident Response Contact List</w:t>
            </w:r>
          </w:p>
          <w:p>
            <w:r>
              <w:rPr>
                <w:rFonts w:ascii="Calibri" w:hAnsi="Calibri" w:cs="Calibri" w:eastAsia="Calibri"/>
                <w:b w:val="0"/>
                <w:i w:val="0"/>
                <w:sz w:val="18"/>
                <w:szCs w:val="18"/>
              </w:rPr>
              <w:t>RS-PRC-002: Digital Forensics and Evidence Handling Procedure</w:t>
            </w:r>
          </w:p>
          <w:p>
            <w:r>
              <w:rPr>
                <w:rFonts w:ascii="Calibri" w:hAnsi="Calibri" w:cs="Calibri" w:eastAsia="Calibri"/>
                <w:b w:val="0"/>
                <w:i w:val="0"/>
                <w:sz w:val="18"/>
                <w:szCs w:val="18"/>
              </w:rPr>
              <w:t>RS-PRC-003: Incident Notification and Communication Procedure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RS-PLN-001  |  Cybersecurity Incident Response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