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Incident Handling Procedure</w:t>
      </w:r>
    </w:p>
    <w:p>
      <w:pPr>
        <w:spacing w:after="80" w:before="0"/>
      </w:pPr>
      <w:r>
        <w:rPr>
          <w:rFonts w:ascii="Calibri" w:hAnsi="Calibri" w:cs="Calibri" w:eastAsia="Calibri"/>
          <w:b w:val="0"/>
          <w:i w:val="0"/>
          <w:color w:val="595959"/>
          <w:sz w:val="18"/>
          <w:szCs w:val="18"/>
        </w:rPr>
        <w:t>RS-PRC-001  |  Procedure  |  Incident Management (RS.MA)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RS-PRC-001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Incident Handling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25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25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Respond (RS)</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Management (RS.MA)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5.26; NIST SP 800-61 Rev. 3</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4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25 June 2026</w:t>
            </w:r>
          </w:p>
        </w:tc>
        <w:tc>
          <w:tcPr>
            <w:tcW w:type="dxa" w:w="3742"/>
          </w:tcPr>
          <w:p>
            <w:r/>
            <w:r>
              <w:rPr>
                <w:rFonts w:ascii="Calibri" w:hAnsi="Calibri" w:cs="Calibri" w:eastAsia="Calibri"/>
                <w:b w:val="0"/>
                <w:i w:val="0"/>
                <w:sz w:val="18"/>
                <w:szCs w:val="18"/>
              </w:rPr>
              <w:t>Updated after the February 2026 ransomware tabletop exercise (EX-2026-01) and the June 2026 email compromise attempt (INC-2026-014).</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gives the step-by-step actions for handling a declared incident: triage, categorization, containment, eradication, escalation, and hand-off to recovery (RS.MA-02 to RS.MA-05, RS.MI-01, RS.MI-02).</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Handling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actions, owners, and time targets for each step.</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587"/>
        <w:gridCol w:w="4082"/>
        <w:gridCol w:w="1871"/>
        <w:gridCol w:w="1814"/>
      </w:tblGrid>
      <w:tr>
        <w:trPr>
          <w:tblHeader w:val="true"/>
        </w:trPr>
        <w:tc>
          <w:tcPr>
            <w:tcW w:type="dxa" w:w="1587"/>
            <w:shd w:val="clear" w:color="auto" w:fill="1F3864"/>
          </w:tcPr>
          <w:p>
            <w:r/>
            <w:r>
              <w:rPr>
                <w:rFonts w:ascii="Calibri" w:hAnsi="Calibri" w:cs="Calibri" w:eastAsia="Calibri"/>
                <w:b/>
                <w:i w:val="0"/>
                <w:color w:val="FFFFFF"/>
                <w:sz w:val="18"/>
                <w:szCs w:val="18"/>
                <w:bCs/>
              </w:rPr>
              <w:t>Step</w:t>
            </w:r>
          </w:p>
        </w:tc>
        <w:tc>
          <w:tcPr>
            <w:tcW w:type="dxa" w:w="4082"/>
            <w:shd w:val="clear" w:color="auto" w:fill="1F3864"/>
          </w:tcPr>
          <w:p>
            <w:r/>
            <w:r>
              <w:rPr>
                <w:rFonts w:ascii="Calibri" w:hAnsi="Calibri" w:cs="Calibri" w:eastAsia="Calibri"/>
                <w:b/>
                <w:i w:val="0"/>
                <w:color w:val="FFFFFF"/>
                <w:sz w:val="18"/>
                <w:szCs w:val="18"/>
                <w:bCs/>
              </w:rPr>
              <w:t>Action</w:t>
            </w:r>
          </w:p>
        </w:tc>
        <w:tc>
          <w:tcPr>
            <w:tcW w:type="dxa" w:w="1871"/>
            <w:shd w:val="clear" w:color="auto" w:fill="1F3864"/>
          </w:tcPr>
          <w:p>
            <w:r/>
            <w:r>
              <w:rPr>
                <w:rFonts w:ascii="Calibri" w:hAnsi="Calibri" w:cs="Calibri" w:eastAsia="Calibri"/>
                <w:b/>
                <w:i w:val="0"/>
                <w:color w:val="FFFFFF"/>
                <w:sz w:val="18"/>
                <w:szCs w:val="18"/>
                <w:bCs/>
              </w:rPr>
              <w:t>Owner</w:t>
            </w:r>
          </w:p>
        </w:tc>
        <w:tc>
          <w:tcPr>
            <w:tcW w:type="dxa" w:w="1814"/>
            <w:shd w:val="clear" w:color="auto" w:fill="1F3864"/>
          </w:tcPr>
          <w:p>
            <w:r/>
            <w:r>
              <w:rPr>
                <w:rFonts w:ascii="Calibri" w:hAnsi="Calibri" w:cs="Calibri" w:eastAsia="Calibri"/>
                <w:b/>
                <w:i w:val="0"/>
                <w:color w:val="FFFFFF"/>
                <w:sz w:val="18"/>
                <w:szCs w:val="18"/>
                <w:bCs/>
              </w:rPr>
              <w:t>Target</w:t>
            </w:r>
          </w:p>
        </w:tc>
      </w:tr>
      <w:tr>
        <w:tc>
          <w:tcPr>
            <w:tcW w:type="dxa" w:w="1587"/>
          </w:tcPr>
          <w:p>
            <w:r/>
            <w:r>
              <w:rPr>
                <w:rFonts w:ascii="Calibri" w:hAnsi="Calibri" w:cs="Calibri" w:eastAsia="Calibri"/>
                <w:b w:val="0"/>
                <w:i w:val="0"/>
                <w:sz w:val="18"/>
                <w:szCs w:val="18"/>
              </w:rPr>
              <w:t>1 Validate</w:t>
            </w:r>
          </w:p>
        </w:tc>
        <w:tc>
          <w:tcPr>
            <w:tcW w:type="dxa" w:w="4082"/>
          </w:tcPr>
          <w:p>
            <w:r/>
            <w:r>
              <w:rPr>
                <w:rFonts w:ascii="Calibri" w:hAnsi="Calibri" w:cs="Calibri" w:eastAsia="Calibri"/>
                <w:b w:val="0"/>
                <w:i w:val="0"/>
                <w:sz w:val="18"/>
                <w:szCs w:val="18"/>
              </w:rPr>
              <w:t>Confirm the report is a real incident; open the record in RS-REG-001</w:t>
            </w:r>
          </w:p>
        </w:tc>
        <w:tc>
          <w:tcPr>
            <w:tcW w:type="dxa" w:w="1871"/>
          </w:tcPr>
          <w:p>
            <w:r/>
            <w:r>
              <w:rPr>
                <w:rFonts w:ascii="Calibri" w:hAnsi="Calibri" w:cs="Calibri" w:eastAsia="Calibri"/>
                <w:b w:val="0"/>
                <w:i w:val="0"/>
                <w:sz w:val="18"/>
                <w:szCs w:val="18"/>
              </w:rPr>
              <w:t>SOC Lead (MSSP service manager with Security Manager oversight) or security engineer</w:t>
            </w:r>
          </w:p>
        </w:tc>
        <w:tc>
          <w:tcPr>
            <w:tcW w:type="dxa" w:w="1814"/>
          </w:tcPr>
          <w:p>
            <w:r/>
            <w:r>
              <w:rPr>
                <w:rFonts w:ascii="Calibri" w:hAnsi="Calibri" w:cs="Calibri" w:eastAsia="Calibri"/>
                <w:b w:val="0"/>
                <w:i w:val="0"/>
                <w:sz w:val="18"/>
                <w:szCs w:val="18"/>
              </w:rPr>
              <w:t>Within 30 minutes for High alerts</w:t>
            </w:r>
          </w:p>
        </w:tc>
      </w:tr>
      <w:tr>
        <w:tc>
          <w:tcPr>
            <w:tcW w:type="dxa" w:w="1587"/>
          </w:tcPr>
          <w:p>
            <w:r/>
            <w:r>
              <w:rPr>
                <w:rFonts w:ascii="Calibri" w:hAnsi="Calibri" w:cs="Calibri" w:eastAsia="Calibri"/>
                <w:b w:val="0"/>
                <w:i w:val="0"/>
                <w:sz w:val="18"/>
                <w:szCs w:val="18"/>
              </w:rPr>
              <w:t>2 Categorize</w:t>
            </w:r>
          </w:p>
        </w:tc>
        <w:tc>
          <w:tcPr>
            <w:tcW w:type="dxa" w:w="4082"/>
          </w:tcPr>
          <w:p>
            <w:r/>
            <w:r>
              <w:rPr>
                <w:rFonts w:ascii="Calibri" w:hAnsi="Calibri" w:cs="Calibri" w:eastAsia="Calibri"/>
                <w:b w:val="0"/>
                <w:i w:val="0"/>
                <w:sz w:val="18"/>
                <w:szCs w:val="18"/>
              </w:rPr>
              <w:t>Assign category and severity per DE-STD-002</w:t>
            </w:r>
          </w:p>
        </w:tc>
        <w:tc>
          <w:tcPr>
            <w:tcW w:type="dxa" w:w="1871"/>
          </w:tcPr>
          <w:p>
            <w:r/>
            <w:r>
              <w:rPr>
                <w:rFonts w:ascii="Calibri" w:hAnsi="Calibri" w:cs="Calibri" w:eastAsia="Calibri"/>
                <w:b w:val="0"/>
                <w:i w:val="0"/>
                <w:sz w:val="18"/>
                <w:szCs w:val="18"/>
              </w:rPr>
              <w:t>Security Manager</w:t>
            </w:r>
          </w:p>
        </w:tc>
        <w:tc>
          <w:tcPr>
            <w:tcW w:type="dxa" w:w="1814"/>
          </w:tcPr>
          <w:p>
            <w:r/>
            <w:r>
              <w:rPr>
                <w:rFonts w:ascii="Calibri" w:hAnsi="Calibri" w:cs="Calibri" w:eastAsia="Calibri"/>
                <w:b w:val="0"/>
                <w:i w:val="0"/>
                <w:sz w:val="18"/>
                <w:szCs w:val="18"/>
              </w:rPr>
              <w:t>Within 1 hour</w:t>
            </w:r>
          </w:p>
        </w:tc>
      </w:tr>
      <w:tr>
        <w:tc>
          <w:tcPr>
            <w:tcW w:type="dxa" w:w="1587"/>
          </w:tcPr>
          <w:p>
            <w:r/>
            <w:r>
              <w:rPr>
                <w:rFonts w:ascii="Calibri" w:hAnsi="Calibri" w:cs="Calibri" w:eastAsia="Calibri"/>
                <w:b w:val="0"/>
                <w:i w:val="0"/>
                <w:sz w:val="18"/>
                <w:szCs w:val="18"/>
              </w:rPr>
              <w:t>3 Escalate</w:t>
            </w:r>
          </w:p>
        </w:tc>
        <w:tc>
          <w:tcPr>
            <w:tcW w:type="dxa" w:w="4082"/>
          </w:tcPr>
          <w:p>
            <w:r/>
            <w:r>
              <w:rPr>
                <w:rFonts w:ascii="Calibri" w:hAnsi="Calibri" w:cs="Calibri" w:eastAsia="Calibri"/>
                <w:b w:val="0"/>
                <w:i w:val="0"/>
                <w:sz w:val="18"/>
                <w:szCs w:val="18"/>
              </w:rPr>
              <w:t>Notify per severity; assemble the response team</w:t>
            </w:r>
          </w:p>
        </w:tc>
        <w:tc>
          <w:tcPr>
            <w:tcW w:type="dxa" w:w="1871"/>
          </w:tcPr>
          <w:p>
            <w:r/>
            <w:r>
              <w:rPr>
                <w:rFonts w:ascii="Calibri" w:hAnsi="Calibri" w:cs="Calibri" w:eastAsia="Calibri"/>
                <w:b w:val="0"/>
                <w:i w:val="0"/>
                <w:sz w:val="18"/>
                <w:szCs w:val="18"/>
              </w:rPr>
              <w:t>Security Manager</w:t>
            </w:r>
          </w:p>
        </w:tc>
        <w:tc>
          <w:tcPr>
            <w:tcW w:type="dxa" w:w="1814"/>
          </w:tcPr>
          <w:p>
            <w:r/>
            <w:r>
              <w:rPr>
                <w:rFonts w:ascii="Calibri" w:hAnsi="Calibri" w:cs="Calibri" w:eastAsia="Calibri"/>
                <w:b w:val="0"/>
                <w:i w:val="0"/>
                <w:sz w:val="18"/>
                <w:szCs w:val="18"/>
              </w:rPr>
              <w:t>Per DE-STD-002</w:t>
            </w:r>
          </w:p>
        </w:tc>
      </w:tr>
      <w:tr>
        <w:tc>
          <w:tcPr>
            <w:tcW w:type="dxa" w:w="1587"/>
          </w:tcPr>
          <w:p>
            <w:r/>
            <w:r>
              <w:rPr>
                <w:rFonts w:ascii="Calibri" w:hAnsi="Calibri" w:cs="Calibri" w:eastAsia="Calibri"/>
                <w:b w:val="0"/>
                <w:i w:val="0"/>
                <w:sz w:val="18"/>
                <w:szCs w:val="18"/>
              </w:rPr>
              <w:t>4 Contain</w:t>
            </w:r>
          </w:p>
        </w:tc>
        <w:tc>
          <w:tcPr>
            <w:tcW w:type="dxa" w:w="4082"/>
          </w:tcPr>
          <w:p>
            <w:r/>
            <w:r>
              <w:rPr>
                <w:rFonts w:ascii="Calibri" w:hAnsi="Calibri" w:cs="Calibri" w:eastAsia="Calibri"/>
                <w:b w:val="0"/>
                <w:i w:val="0"/>
                <w:sz w:val="18"/>
                <w:szCs w:val="18"/>
              </w:rPr>
              <w:t>Isolate hosts, disable accounts, block indicators, preserve evidence first where possible</w:t>
            </w:r>
          </w:p>
        </w:tc>
        <w:tc>
          <w:tcPr>
            <w:tcW w:type="dxa" w:w="1871"/>
          </w:tcPr>
          <w:p>
            <w:r/>
            <w:r>
              <w:rPr>
                <w:rFonts w:ascii="Calibri" w:hAnsi="Calibri" w:cs="Calibri" w:eastAsia="Calibri"/>
                <w:b w:val="0"/>
                <w:i w:val="0"/>
                <w:sz w:val="18"/>
                <w:szCs w:val="18"/>
              </w:rPr>
              <w:t>Technical lead</w:t>
            </w:r>
          </w:p>
        </w:tc>
        <w:tc>
          <w:tcPr>
            <w:tcW w:type="dxa" w:w="1814"/>
          </w:tcPr>
          <w:p>
            <w:r/>
            <w:r>
              <w:rPr>
                <w:rFonts w:ascii="Calibri" w:hAnsi="Calibri" w:cs="Calibri" w:eastAsia="Calibri"/>
                <w:b w:val="0"/>
                <w:i w:val="0"/>
                <w:sz w:val="18"/>
                <w:szCs w:val="18"/>
              </w:rPr>
              <w:t>SEV-1 within 1 hour of declaration</w:t>
            </w:r>
          </w:p>
        </w:tc>
      </w:tr>
      <w:tr>
        <w:tc>
          <w:tcPr>
            <w:tcW w:type="dxa" w:w="1587"/>
          </w:tcPr>
          <w:p>
            <w:r/>
            <w:r>
              <w:rPr>
                <w:rFonts w:ascii="Calibri" w:hAnsi="Calibri" w:cs="Calibri" w:eastAsia="Calibri"/>
                <w:b w:val="0"/>
                <w:i w:val="0"/>
                <w:sz w:val="18"/>
                <w:szCs w:val="18"/>
              </w:rPr>
              <w:t>5 Investigate</w:t>
            </w:r>
          </w:p>
        </w:tc>
        <w:tc>
          <w:tcPr>
            <w:tcW w:type="dxa" w:w="4082"/>
          </w:tcPr>
          <w:p>
            <w:r/>
            <w:r>
              <w:rPr>
                <w:rFonts w:ascii="Calibri" w:hAnsi="Calibri" w:cs="Calibri" w:eastAsia="Calibri"/>
                <w:b w:val="0"/>
                <w:i w:val="0"/>
                <w:sz w:val="18"/>
                <w:szCs w:val="18"/>
              </w:rPr>
              <w:t>Determine scope, root cause, and data affected (RS-PRC-002)</w:t>
            </w:r>
          </w:p>
        </w:tc>
        <w:tc>
          <w:tcPr>
            <w:tcW w:type="dxa" w:w="1871"/>
          </w:tcPr>
          <w:p>
            <w:r/>
            <w:r>
              <w:rPr>
                <w:rFonts w:ascii="Calibri" w:hAnsi="Calibri" w:cs="Calibri" w:eastAsia="Calibri"/>
                <w:b w:val="0"/>
                <w:i w:val="0"/>
                <w:sz w:val="18"/>
                <w:szCs w:val="18"/>
              </w:rPr>
              <w:t>Security team, IR retainer</w:t>
            </w:r>
          </w:p>
        </w:tc>
        <w:tc>
          <w:tcPr>
            <w:tcW w:type="dxa" w:w="1814"/>
          </w:tcPr>
          <w:p>
            <w:r/>
            <w:r>
              <w:rPr>
                <w:rFonts w:ascii="Calibri" w:hAnsi="Calibri" w:cs="Calibri" w:eastAsia="Calibri"/>
                <w:b w:val="0"/>
                <w:i w:val="0"/>
                <w:sz w:val="18"/>
                <w:szCs w:val="18"/>
              </w:rPr>
              <w:t>Ongoing</w:t>
            </w:r>
          </w:p>
        </w:tc>
      </w:tr>
      <w:tr>
        <w:tc>
          <w:tcPr>
            <w:tcW w:type="dxa" w:w="1587"/>
          </w:tcPr>
          <w:p>
            <w:r/>
            <w:r>
              <w:rPr>
                <w:rFonts w:ascii="Calibri" w:hAnsi="Calibri" w:cs="Calibri" w:eastAsia="Calibri"/>
                <w:b w:val="0"/>
                <w:i w:val="0"/>
                <w:sz w:val="18"/>
                <w:szCs w:val="18"/>
              </w:rPr>
              <w:t>6 Eradicate</w:t>
            </w:r>
          </w:p>
        </w:tc>
        <w:tc>
          <w:tcPr>
            <w:tcW w:type="dxa" w:w="4082"/>
          </w:tcPr>
          <w:p>
            <w:r/>
            <w:r>
              <w:rPr>
                <w:rFonts w:ascii="Calibri" w:hAnsi="Calibri" w:cs="Calibri" w:eastAsia="Calibri"/>
                <w:b w:val="0"/>
                <w:i w:val="0"/>
                <w:sz w:val="18"/>
                <w:szCs w:val="18"/>
              </w:rPr>
              <w:t>Remove malware and persistence, reset credentials, patch the entry point</w:t>
            </w:r>
          </w:p>
        </w:tc>
        <w:tc>
          <w:tcPr>
            <w:tcW w:type="dxa" w:w="1871"/>
          </w:tcPr>
          <w:p>
            <w:r/>
            <w:r>
              <w:rPr>
                <w:rFonts w:ascii="Calibri" w:hAnsi="Calibri" w:cs="Calibri" w:eastAsia="Calibri"/>
                <w:b w:val="0"/>
                <w:i w:val="0"/>
                <w:sz w:val="18"/>
                <w:szCs w:val="18"/>
              </w:rPr>
              <w:t>Technical lead</w:t>
            </w:r>
          </w:p>
        </w:tc>
        <w:tc>
          <w:tcPr>
            <w:tcW w:type="dxa" w:w="1814"/>
          </w:tcPr>
          <w:p>
            <w:r/>
            <w:r>
              <w:rPr>
                <w:rFonts w:ascii="Calibri" w:hAnsi="Calibri" w:cs="Calibri" w:eastAsia="Calibri"/>
                <w:b w:val="0"/>
                <w:i w:val="0"/>
                <w:sz w:val="18"/>
                <w:szCs w:val="18"/>
              </w:rPr>
              <w:t>Before recovery</w:t>
            </w:r>
          </w:p>
        </w:tc>
      </w:tr>
      <w:tr>
        <w:tc>
          <w:tcPr>
            <w:tcW w:type="dxa" w:w="1587"/>
          </w:tcPr>
          <w:p>
            <w:r/>
            <w:r>
              <w:rPr>
                <w:rFonts w:ascii="Calibri" w:hAnsi="Calibri" w:cs="Calibri" w:eastAsia="Calibri"/>
                <w:b w:val="0"/>
                <w:i w:val="0"/>
                <w:sz w:val="18"/>
                <w:szCs w:val="18"/>
              </w:rPr>
              <w:t>7 Hand off to recovery</w:t>
            </w:r>
          </w:p>
        </w:tc>
        <w:tc>
          <w:tcPr>
            <w:tcW w:type="dxa" w:w="4082"/>
          </w:tcPr>
          <w:p>
            <w:r/>
            <w:r>
              <w:rPr>
                <w:rFonts w:ascii="Calibri" w:hAnsi="Calibri" w:cs="Calibri" w:eastAsia="Calibri"/>
                <w:b w:val="0"/>
                <w:i w:val="0"/>
                <w:sz w:val="18"/>
                <w:szCs w:val="18"/>
              </w:rPr>
              <w:t>Apply recovery criteria (RS-PLN-001) and start RC-PLN-002</w:t>
            </w:r>
          </w:p>
        </w:tc>
        <w:tc>
          <w:tcPr>
            <w:tcW w:type="dxa" w:w="1871"/>
          </w:tcPr>
          <w:p>
            <w:r/>
            <w:r>
              <w:rPr>
                <w:rFonts w:ascii="Calibri" w:hAnsi="Calibri" w:cs="Calibri" w:eastAsia="Calibri"/>
                <w:b w:val="0"/>
                <w:i w:val="0"/>
                <w:sz w:val="18"/>
                <w:szCs w:val="18"/>
              </w:rPr>
              <w:t>Incident Commander</w:t>
            </w:r>
          </w:p>
        </w:tc>
        <w:tc>
          <w:tcPr>
            <w:tcW w:type="dxa" w:w="1814"/>
          </w:tcPr>
          <w:p>
            <w:r/>
            <w:r>
              <w:rPr>
                <w:rFonts w:ascii="Calibri" w:hAnsi="Calibri" w:cs="Calibri" w:eastAsia="Calibri"/>
                <w:b w:val="0"/>
                <w:i w:val="0"/>
                <w:sz w:val="18"/>
                <w:szCs w:val="18"/>
              </w:rPr>
              <w:t>When criteria met</w:t>
            </w:r>
          </w:p>
        </w:tc>
      </w:tr>
      <w:tr>
        <w:tc>
          <w:tcPr>
            <w:tcW w:type="dxa" w:w="1587"/>
          </w:tcPr>
          <w:p>
            <w:r/>
            <w:r>
              <w:rPr>
                <w:rFonts w:ascii="Calibri" w:hAnsi="Calibri" w:cs="Calibri" w:eastAsia="Calibri"/>
                <w:b w:val="0"/>
                <w:i w:val="0"/>
                <w:sz w:val="18"/>
                <w:szCs w:val="18"/>
              </w:rPr>
              <w:t>8 Close</w:t>
            </w:r>
          </w:p>
        </w:tc>
        <w:tc>
          <w:tcPr>
            <w:tcW w:type="dxa" w:w="4082"/>
          </w:tcPr>
          <w:p>
            <w:r/>
            <w:r>
              <w:rPr>
                <w:rFonts w:ascii="Calibri" w:hAnsi="Calibri" w:cs="Calibri" w:eastAsia="Calibri"/>
                <w:b w:val="0"/>
                <w:i w:val="0"/>
                <w:sz w:val="18"/>
                <w:szCs w:val="18"/>
              </w:rPr>
              <w:t>Complete the investigation report, lessons learned, and register entry</w:t>
            </w:r>
          </w:p>
        </w:tc>
        <w:tc>
          <w:tcPr>
            <w:tcW w:type="dxa" w:w="1871"/>
          </w:tcPr>
          <w:p>
            <w:r/>
            <w:r>
              <w:rPr>
                <w:rFonts w:ascii="Calibri" w:hAnsi="Calibri" w:cs="Calibri" w:eastAsia="Calibri"/>
                <w:b w:val="0"/>
                <w:i w:val="0"/>
                <w:sz w:val="18"/>
                <w:szCs w:val="18"/>
              </w:rPr>
              <w:t>Security Manager</w:t>
            </w:r>
          </w:p>
        </w:tc>
        <w:tc>
          <w:tcPr>
            <w:tcW w:type="dxa" w:w="1814"/>
          </w:tcPr>
          <w:p>
            <w:r/>
            <w:r>
              <w:rPr>
                <w:rFonts w:ascii="Calibri" w:hAnsi="Calibri" w:cs="Calibri" w:eastAsia="Calibri"/>
                <w:b w:val="0"/>
                <w:i w:val="0"/>
                <w:sz w:val="18"/>
                <w:szCs w:val="18"/>
              </w:rPr>
              <w:t>Within 10 working days of recovery</w:t>
            </w:r>
          </w:p>
        </w:tc>
      </w:tr>
    </w:tbl>
    <w:p>
      <w:pPr>
        <w:spacing w:after="40"/>
      </w:pPr>
    </w:p>
    <w:p>
      <w:pPr>
        <w:pStyle w:val="Heading2"/>
        <w:keepNext/>
        <w:spacing w:before="120" w:after="80"/>
      </w:pPr>
      <w:r>
        <w:rPr>
          <w:rFonts w:ascii="Calibri" w:hAnsi="Calibri" w:cs="Calibri" w:eastAsia="Calibri"/>
          <w:b/>
          <w:i w:val="0"/>
          <w:color w:val="1F3864"/>
          <w:sz w:val="24"/>
          <w:szCs w:val="24"/>
          <w:bCs/>
        </w:rPr>
        <w:t>4.4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RS-FRM-001: Incident Report Form</w:t>
      </w:r>
    </w:p>
    <w:p>
      <w:pPr>
        <w:pStyle w:val="ListBullet"/>
        <w:spacing w:after="40"/>
      </w:pPr>
      <w:r>
        <w:rPr>
          <w:rFonts w:ascii="Calibri" w:hAnsi="Calibri" w:cs="Calibri" w:eastAsia="Calibri"/>
          <w:b w:val="0"/>
          <w:i w:val="0"/>
          <w:sz w:val="21"/>
          <w:szCs w:val="21"/>
        </w:rPr>
        <w:t>RS-REG-001: Incident Register</w:t>
      </w:r>
    </w:p>
    <w:p>
      <w:pPr>
        <w:pStyle w:val="ListBullet"/>
        <w:spacing w:after="40"/>
      </w:pPr>
      <w:r>
        <w:rPr>
          <w:rFonts w:ascii="Calibri" w:hAnsi="Calibri" w:cs="Calibri" w:eastAsia="Calibri"/>
          <w:b w:val="0"/>
          <w:i w:val="0"/>
          <w:sz w:val="21"/>
          <w:szCs w:val="21"/>
        </w:rPr>
        <w:t>RS-TPL-001: Incident Investigation Report Template</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Contain fast but capture volatile evidence (memory, logs) on key hosts before reimaging.</w:t>
      </w:r>
    </w:p>
    <w:p>
      <w:pPr>
        <w:pStyle w:val="ListBullet"/>
        <w:spacing w:after="40"/>
      </w:pPr>
      <w:r>
        <w:rPr>
          <w:rFonts w:ascii="Calibri" w:hAnsi="Calibri" w:cs="Calibri" w:eastAsia="Calibri"/>
          <w:b w:val="0"/>
          <w:i w:val="0"/>
          <w:sz w:val="21"/>
          <w:szCs w:val="21"/>
        </w:rPr>
        <w:t>Keep a time-stamped action log from the first minute.</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Reimaging infected machines immediately, destroying evidence of how the attacker got in.</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RS.MA-02: Incident reports are triaged and validated</w:t>
            </w:r>
          </w:p>
          <w:p>
            <w:r>
              <w:rPr>
                <w:rFonts w:ascii="Calibri" w:hAnsi="Calibri" w:cs="Calibri" w:eastAsia="Calibri"/>
                <w:b w:val="0"/>
                <w:i w:val="0"/>
                <w:sz w:val="18"/>
                <w:szCs w:val="18"/>
              </w:rPr>
              <w:t>RS.MA-03: Incidents are categorized and prioritized</w:t>
            </w:r>
          </w:p>
          <w:p>
            <w:r>
              <w:rPr>
                <w:rFonts w:ascii="Calibri" w:hAnsi="Calibri" w:cs="Calibri" w:eastAsia="Calibri"/>
                <w:b w:val="0"/>
                <w:i w:val="0"/>
                <w:sz w:val="18"/>
                <w:szCs w:val="18"/>
              </w:rPr>
              <w:t>RS.MA-04: Incidents are escalated or elevated as needed</w:t>
            </w:r>
          </w:p>
          <w:p>
            <w:r>
              <w:rPr>
                <w:rFonts w:ascii="Calibri" w:hAnsi="Calibri" w:cs="Calibri" w:eastAsia="Calibri"/>
                <w:b w:val="0"/>
                <w:i w:val="0"/>
                <w:sz w:val="18"/>
                <w:szCs w:val="18"/>
              </w:rPr>
              <w:t>RS.MA-05: The criteria for initiating incident recovery are applied</w:t>
            </w:r>
          </w:p>
          <w:p>
            <w:r>
              <w:rPr>
                <w:rFonts w:ascii="Calibri" w:hAnsi="Calibri" w:cs="Calibri" w:eastAsia="Calibri"/>
                <w:b w:val="0"/>
                <w:i w:val="0"/>
                <w:sz w:val="18"/>
                <w:szCs w:val="18"/>
              </w:rPr>
              <w:t>RS.MI-01: Incidents are contained</w:t>
            </w:r>
          </w:p>
          <w:p>
            <w:r>
              <w:rPr>
                <w:rFonts w:ascii="Calibri" w:hAnsi="Calibri" w:cs="Calibri" w:eastAsia="Calibri"/>
                <w:b w:val="0"/>
                <w:i w:val="0"/>
                <w:sz w:val="18"/>
                <w:szCs w:val="18"/>
              </w:rPr>
              <w:t>RS.MI-02: Incidents are eradicated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A.5.26</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IR-4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5.26; NIST SP 800-61 Rev. 3</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RS-PLN-001: Cybersecurity Incident Response Plan</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RS-PLB-001: Ransomware Response Playbook</w:t>
            </w:r>
          </w:p>
          <w:p>
            <w:r>
              <w:rPr>
                <w:rFonts w:ascii="Calibri" w:hAnsi="Calibri" w:cs="Calibri" w:eastAsia="Calibri"/>
                <w:b w:val="0"/>
                <w:i w:val="0"/>
                <w:sz w:val="18"/>
                <w:szCs w:val="18"/>
              </w:rPr>
              <w:t>RS-PLB-002: Phishing and Business Email Compromise Playbook</w:t>
            </w:r>
          </w:p>
          <w:p>
            <w:r>
              <w:rPr>
                <w:rFonts w:ascii="Calibri" w:hAnsi="Calibri" w:cs="Calibri" w:eastAsia="Calibri"/>
                <w:b w:val="0"/>
                <w:i w:val="0"/>
                <w:sz w:val="18"/>
                <w:szCs w:val="18"/>
              </w:rPr>
              <w:t>RS-PLB-003: Personal Data Breach Response Playbook</w:t>
            </w:r>
          </w:p>
          <w:p>
            <w:r>
              <w:rPr>
                <w:rFonts w:ascii="Calibri" w:hAnsi="Calibri" w:cs="Calibri" w:eastAsia="Calibri"/>
                <w:b w:val="0"/>
                <w:i w:val="0"/>
                <w:sz w:val="18"/>
                <w:szCs w:val="18"/>
              </w:rPr>
              <w:t>RS-PLB-004: Compromised Account Playbook</w:t>
            </w:r>
          </w:p>
          <w:p>
            <w:r>
              <w:rPr>
                <w:rFonts w:ascii="Calibri" w:hAnsi="Calibri" w:cs="Calibri" w:eastAsia="Calibri"/>
                <w:b w:val="0"/>
                <w:i w:val="0"/>
                <w:sz w:val="18"/>
                <w:szCs w:val="18"/>
              </w:rPr>
              <w:t>RS-FRM-001: Incident Report Form</w:t>
            </w:r>
          </w:p>
          <w:p>
            <w:r>
              <w:rPr>
                <w:rFonts w:ascii="Calibri" w:hAnsi="Calibri" w:cs="Calibri" w:eastAsia="Calibri"/>
                <w:b w:val="0"/>
                <w:i w:val="0"/>
                <w:sz w:val="18"/>
                <w:szCs w:val="18"/>
              </w:rPr>
              <w:t>RS-REG-001: Incident Register</w:t>
            </w:r>
          </w:p>
          <w:p>
            <w:r>
              <w:rPr>
                <w:rFonts w:ascii="Calibri" w:hAnsi="Calibri" w:cs="Calibri" w:eastAsia="Calibri"/>
                <w:b w:val="0"/>
                <w:i w:val="0"/>
                <w:sz w:val="18"/>
                <w:szCs w:val="18"/>
              </w:rPr>
              <w:t>RS-TPL-001: Incident Investigation Report Template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RS-PRC-001  |  Incident Handling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