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Incident Register</w:t>
      </w:r>
    </w:p>
    <w:p>
      <w:pPr>
        <w:spacing w:after="80" w:before="0"/>
      </w:pPr>
      <w:r>
        <w:rPr>
          <w:rFonts w:ascii="Calibri" w:hAnsi="Calibri" w:cs="Calibri" w:eastAsia="Calibri"/>
          <w:b w:val="0"/>
          <w:i w:val="0"/>
          <w:color w:val="595959"/>
          <w:sz w:val="18"/>
          <w:szCs w:val="18"/>
        </w:rPr>
        <w:t>RS-REG-001  |  Register  |  Incident Management (RS.MA)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RS-REG-001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Incident Register</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10 March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Continuous</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10 March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Register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Respond (RS)</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Incident Management (RS.MA)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5.25 and 5.26</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19 March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10 March 2026</w:t>
            </w:r>
          </w:p>
        </w:tc>
        <w:tc>
          <w:tcPr>
            <w:tcW w:type="dxa" w:w="3742"/>
          </w:tcPr>
          <w:p>
            <w:r/>
            <w:r>
              <w:rPr>
                <w:rFonts w:ascii="Calibri" w:hAnsi="Calibri" w:cs="Calibri" w:eastAsia="Calibri"/>
                <w:b w:val="0"/>
                <w:i w:val="0"/>
                <w:sz w:val="18"/>
                <w:szCs w:val="18"/>
              </w:rPr>
              <w:t>Updated after the February 2026 ransomware tabletop exercise (EX-2026-01) and the June 2026 email compromise attempt (INC-2026-014).</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records every security incident, its category, severity, timeline, impact, notifications, root cause, and status, for tracking, reporting, and trend analysis (RS.MA, RS.AN).</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is used by the units and roles named in its parent document (RS-PRC-001)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Incident ID</w:t>
            </w:r>
          </w:p>
        </w:tc>
        <w:tc>
          <w:tcPr>
            <w:tcW w:type="dxa" w:w="4535"/>
          </w:tcPr>
          <w:p>
            <w:r/>
            <w:r>
              <w:rPr>
                <w:rFonts w:ascii="Calibri" w:hAnsi="Calibri" w:cs="Calibri" w:eastAsia="Calibri"/>
                <w:b w:val="0"/>
                <w:i w:val="0"/>
                <w:sz w:val="18"/>
                <w:szCs w:val="18"/>
              </w:rPr>
              <w:t>Unique reference.</w:t>
            </w:r>
          </w:p>
        </w:tc>
        <w:tc>
          <w:tcPr>
            <w:tcW w:type="dxa" w:w="2551"/>
          </w:tcPr>
          <w:p>
            <w:r/>
            <w:r>
              <w:rPr>
                <w:rFonts w:ascii="Calibri" w:hAnsi="Calibri" w:cs="Calibri" w:eastAsia="Calibri"/>
                <w:b w:val="0"/>
                <w:i w:val="0"/>
                <w:sz w:val="18"/>
                <w:szCs w:val="18"/>
              </w:rPr>
              <w:t>INC-2026-001</w:t>
            </w:r>
          </w:p>
        </w:tc>
      </w:tr>
      <w:tr>
        <w:tc>
          <w:tcPr>
            <w:tcW w:type="dxa" w:w="2268"/>
          </w:tcPr>
          <w:p>
            <w:r/>
            <w:r>
              <w:rPr>
                <w:rFonts w:ascii="Calibri" w:hAnsi="Calibri" w:cs="Calibri" w:eastAsia="Calibri"/>
                <w:b w:val="0"/>
                <w:i w:val="0"/>
                <w:sz w:val="18"/>
                <w:szCs w:val="18"/>
              </w:rPr>
              <w:t>Detected and declared</w:t>
            </w:r>
          </w:p>
        </w:tc>
        <w:tc>
          <w:tcPr>
            <w:tcW w:type="dxa" w:w="4535"/>
          </w:tcPr>
          <w:p>
            <w:r/>
            <w:r>
              <w:rPr>
                <w:rFonts w:ascii="Calibri" w:hAnsi="Calibri" w:cs="Calibri" w:eastAsia="Calibri"/>
                <w:b w:val="0"/>
                <w:i w:val="0"/>
                <w:sz w:val="18"/>
                <w:szCs w:val="18"/>
              </w:rPr>
              <w:t>Date and time.</w:t>
            </w:r>
          </w:p>
        </w:tc>
        <w:tc>
          <w:tcPr>
            <w:tcW w:type="dxa" w:w="2551"/>
          </w:tcPr>
          <w:p>
            <w:r/>
          </w:p>
        </w:tc>
      </w:tr>
      <w:tr>
        <w:tc>
          <w:tcPr>
            <w:tcW w:type="dxa" w:w="2268"/>
          </w:tcPr>
          <w:p>
            <w:r/>
            <w:r>
              <w:rPr>
                <w:rFonts w:ascii="Calibri" w:hAnsi="Calibri" w:cs="Calibri" w:eastAsia="Calibri"/>
                <w:b w:val="0"/>
                <w:i w:val="0"/>
                <w:sz w:val="18"/>
                <w:szCs w:val="18"/>
              </w:rPr>
              <w:t>Category and severity</w:t>
            </w:r>
          </w:p>
        </w:tc>
        <w:tc>
          <w:tcPr>
            <w:tcW w:type="dxa" w:w="4535"/>
          </w:tcPr>
          <w:p>
            <w:r/>
            <w:r>
              <w:rPr>
                <w:rFonts w:ascii="Calibri" w:hAnsi="Calibri" w:cs="Calibri" w:eastAsia="Calibri"/>
                <w:b w:val="0"/>
                <w:i w:val="0"/>
                <w:sz w:val="18"/>
                <w:szCs w:val="18"/>
              </w:rPr>
              <w:t>Per DE-STD-002.</w:t>
            </w:r>
          </w:p>
        </w:tc>
        <w:tc>
          <w:tcPr>
            <w:tcW w:type="dxa" w:w="2551"/>
          </w:tcPr>
          <w:p>
            <w:r/>
          </w:p>
        </w:tc>
      </w:tr>
      <w:tr>
        <w:tc>
          <w:tcPr>
            <w:tcW w:type="dxa" w:w="2268"/>
          </w:tcPr>
          <w:p>
            <w:r/>
            <w:r>
              <w:rPr>
                <w:rFonts w:ascii="Calibri" w:hAnsi="Calibri" w:cs="Calibri" w:eastAsia="Calibri"/>
                <w:b w:val="0"/>
                <w:i w:val="0"/>
                <w:sz w:val="18"/>
                <w:szCs w:val="18"/>
              </w:rPr>
              <w:t>Summary</w:t>
            </w:r>
          </w:p>
        </w:tc>
        <w:tc>
          <w:tcPr>
            <w:tcW w:type="dxa" w:w="4535"/>
          </w:tcPr>
          <w:p>
            <w:r/>
            <w:r>
              <w:rPr>
                <w:rFonts w:ascii="Calibri" w:hAnsi="Calibri" w:cs="Calibri" w:eastAsia="Calibri"/>
                <w:b w:val="0"/>
                <w:i w:val="0"/>
                <w:sz w:val="18"/>
                <w:szCs w:val="18"/>
              </w:rPr>
              <w:t>What happened.</w:t>
            </w:r>
          </w:p>
        </w:tc>
        <w:tc>
          <w:tcPr>
            <w:tcW w:type="dxa" w:w="2551"/>
          </w:tcPr>
          <w:p>
            <w:r/>
          </w:p>
        </w:tc>
      </w:tr>
      <w:tr>
        <w:tc>
          <w:tcPr>
            <w:tcW w:type="dxa" w:w="2268"/>
          </w:tcPr>
          <w:p>
            <w:r/>
            <w:r>
              <w:rPr>
                <w:rFonts w:ascii="Calibri" w:hAnsi="Calibri" w:cs="Calibri" w:eastAsia="Calibri"/>
                <w:b w:val="0"/>
                <w:i w:val="0"/>
                <w:sz w:val="18"/>
                <w:szCs w:val="18"/>
              </w:rPr>
              <w:t>Impact and data affected</w:t>
            </w:r>
          </w:p>
        </w:tc>
        <w:tc>
          <w:tcPr>
            <w:tcW w:type="dxa" w:w="4535"/>
          </w:tcPr>
          <w:p>
            <w:r/>
            <w:r>
              <w:rPr>
                <w:rFonts w:ascii="Calibri" w:hAnsi="Calibri" w:cs="Calibri" w:eastAsia="Calibri"/>
                <w:b w:val="0"/>
                <w:i w:val="0"/>
                <w:sz w:val="18"/>
                <w:szCs w:val="18"/>
              </w:rPr>
              <w:t>Services, records, people.</w:t>
            </w:r>
          </w:p>
        </w:tc>
        <w:tc>
          <w:tcPr>
            <w:tcW w:type="dxa" w:w="2551"/>
          </w:tcPr>
          <w:p>
            <w:r/>
          </w:p>
        </w:tc>
      </w:tr>
      <w:tr>
        <w:tc>
          <w:tcPr>
            <w:tcW w:type="dxa" w:w="2268"/>
          </w:tcPr>
          <w:p>
            <w:r/>
            <w:r>
              <w:rPr>
                <w:rFonts w:ascii="Calibri" w:hAnsi="Calibri" w:cs="Calibri" w:eastAsia="Calibri"/>
                <w:b w:val="0"/>
                <w:i w:val="0"/>
                <w:sz w:val="18"/>
                <w:szCs w:val="18"/>
              </w:rPr>
              <w:t>Notifications</w:t>
            </w:r>
          </w:p>
        </w:tc>
        <w:tc>
          <w:tcPr>
            <w:tcW w:type="dxa" w:w="4535"/>
          </w:tcPr>
          <w:p>
            <w:r/>
            <w:r>
              <w:rPr>
                <w:rFonts w:ascii="Calibri" w:hAnsi="Calibri" w:cs="Calibri" w:eastAsia="Calibri"/>
                <w:b w:val="0"/>
                <w:i w:val="0"/>
                <w:sz w:val="18"/>
                <w:szCs w:val="18"/>
              </w:rPr>
              <w:t>PDPC, NCSA, regulator, data subjects, with dates.</w:t>
            </w:r>
          </w:p>
        </w:tc>
        <w:tc>
          <w:tcPr>
            <w:tcW w:type="dxa" w:w="2551"/>
          </w:tcPr>
          <w:p>
            <w:r/>
          </w:p>
        </w:tc>
      </w:tr>
      <w:tr>
        <w:tc>
          <w:tcPr>
            <w:tcW w:type="dxa" w:w="2268"/>
          </w:tcPr>
          <w:p>
            <w:r/>
            <w:r>
              <w:rPr>
                <w:rFonts w:ascii="Calibri" w:hAnsi="Calibri" w:cs="Calibri" w:eastAsia="Calibri"/>
                <w:b w:val="0"/>
                <w:i w:val="0"/>
                <w:sz w:val="18"/>
                <w:szCs w:val="18"/>
              </w:rPr>
              <w:t>Root cause</w:t>
            </w:r>
          </w:p>
        </w:tc>
        <w:tc>
          <w:tcPr>
            <w:tcW w:type="dxa" w:w="4535"/>
          </w:tcPr>
          <w:p>
            <w:r/>
            <w:r>
              <w:rPr>
                <w:rFonts w:ascii="Calibri" w:hAnsi="Calibri" w:cs="Calibri" w:eastAsia="Calibri"/>
                <w:b w:val="0"/>
                <w:i w:val="0"/>
                <w:sz w:val="18"/>
                <w:szCs w:val="18"/>
              </w:rPr>
              <w:t>From investigation.</w:t>
            </w:r>
          </w:p>
        </w:tc>
        <w:tc>
          <w:tcPr>
            <w:tcW w:type="dxa" w:w="2551"/>
          </w:tcPr>
          <w:p>
            <w:r/>
          </w:p>
        </w:tc>
      </w:tr>
      <w:tr>
        <w:tc>
          <w:tcPr>
            <w:tcW w:type="dxa" w:w="2268"/>
          </w:tcPr>
          <w:p>
            <w:r/>
            <w:r>
              <w:rPr>
                <w:rFonts w:ascii="Calibri" w:hAnsi="Calibri" w:cs="Calibri" w:eastAsia="Calibri"/>
                <w:b w:val="0"/>
                <w:i w:val="0"/>
                <w:sz w:val="18"/>
                <w:szCs w:val="18"/>
              </w:rPr>
              <w:t>Status and closed date</w:t>
            </w:r>
          </w:p>
        </w:tc>
        <w:tc>
          <w:tcPr>
            <w:tcW w:type="dxa" w:w="4535"/>
          </w:tcPr>
          <w:p>
            <w:r/>
            <w:r>
              <w:rPr>
                <w:rFonts w:ascii="Calibri" w:hAnsi="Calibri" w:cs="Calibri" w:eastAsia="Calibri"/>
                <w:b w:val="0"/>
                <w:i w:val="0"/>
                <w:sz w:val="18"/>
                <w:szCs w:val="18"/>
              </w:rPr>
              <w:t>Open, Recovering, Closed.</w:t>
            </w:r>
          </w:p>
        </w:tc>
        <w:tc>
          <w:tcPr>
            <w:tcW w:type="dxa" w:w="2551"/>
          </w:tcPr>
          <w:p>
            <w:r/>
          </w:p>
        </w:tc>
      </w:tr>
    </w:tbl>
    <w:p>
      <w:pPr>
        <w:spacing w:after="40"/>
      </w:pPr>
    </w:p>
    <w:p>
      <w:pPr>
        <w:sectPr>
          <w:headerReference w:type="default" r:id="rId9"/>
          <w:footerReference w:type="default" r:id="rId10"/>
          <w:pgSz w:w="11906" w:h="16838"/>
          <w:pgMar w:top="1134" w:right="1247" w:bottom="1020" w:left="1247"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jc w:val="center"/>
        <w:tblLayout w:type="fixed"/>
        <w:tblLook w:firstColumn="1" w:firstRow="1" w:lastColumn="0" w:lastRow="0" w:noHBand="0" w:noVBand="1" w:val="04A0"/>
        <w:tblLayout w:type="fixed"/>
      </w:tblPr>
      <w:tblGrid>
        <w:gridCol w:w="1892"/>
        <w:gridCol w:w="1892"/>
        <w:gridCol w:w="1892"/>
        <w:gridCol w:w="1892"/>
        <w:gridCol w:w="1892"/>
        <w:gridCol w:w="1892"/>
        <w:gridCol w:w="1892"/>
        <w:gridCol w:w="1892"/>
      </w:tblGrid>
      <w:tr>
        <w:trPr>
          <w:tblHeader w:val="true"/>
        </w:trPr>
        <w:tc>
          <w:tcPr>
            <w:tcW w:type="dxa" w:w="1892"/>
            <w:shd w:val="clear" w:color="auto" w:fill="1F3864"/>
          </w:tcPr>
          <w:p>
            <w:r/>
            <w:r>
              <w:rPr>
                <w:rFonts w:ascii="Calibri" w:hAnsi="Calibri" w:cs="Calibri" w:eastAsia="Calibri"/>
                <w:b/>
                <w:i w:val="0"/>
                <w:color w:val="FFFFFF"/>
                <w:sz w:val="16"/>
                <w:szCs w:val="16"/>
                <w:bCs/>
              </w:rPr>
              <w:t>Incident ID</w:t>
            </w:r>
          </w:p>
        </w:tc>
        <w:tc>
          <w:tcPr>
            <w:tcW w:type="dxa" w:w="1892"/>
            <w:shd w:val="clear" w:color="auto" w:fill="1F3864"/>
          </w:tcPr>
          <w:p>
            <w:r/>
            <w:r>
              <w:rPr>
                <w:rFonts w:ascii="Calibri" w:hAnsi="Calibri" w:cs="Calibri" w:eastAsia="Calibri"/>
                <w:b/>
                <w:i w:val="0"/>
                <w:color w:val="FFFFFF"/>
                <w:sz w:val="16"/>
                <w:szCs w:val="16"/>
                <w:bCs/>
              </w:rPr>
              <w:t>Detected and declared</w:t>
            </w:r>
          </w:p>
        </w:tc>
        <w:tc>
          <w:tcPr>
            <w:tcW w:type="dxa" w:w="1892"/>
            <w:shd w:val="clear" w:color="auto" w:fill="1F3864"/>
          </w:tcPr>
          <w:p>
            <w:r/>
            <w:r>
              <w:rPr>
                <w:rFonts w:ascii="Calibri" w:hAnsi="Calibri" w:cs="Calibri" w:eastAsia="Calibri"/>
                <w:b/>
                <w:i w:val="0"/>
                <w:color w:val="FFFFFF"/>
                <w:sz w:val="16"/>
                <w:szCs w:val="16"/>
                <w:bCs/>
              </w:rPr>
              <w:t>Category and severity</w:t>
            </w:r>
          </w:p>
        </w:tc>
        <w:tc>
          <w:tcPr>
            <w:tcW w:type="dxa" w:w="1892"/>
            <w:shd w:val="clear" w:color="auto" w:fill="1F3864"/>
          </w:tcPr>
          <w:p>
            <w:r/>
            <w:r>
              <w:rPr>
                <w:rFonts w:ascii="Calibri" w:hAnsi="Calibri" w:cs="Calibri" w:eastAsia="Calibri"/>
                <w:b/>
                <w:i w:val="0"/>
                <w:color w:val="FFFFFF"/>
                <w:sz w:val="16"/>
                <w:szCs w:val="16"/>
                <w:bCs/>
              </w:rPr>
              <w:t>Summary</w:t>
            </w:r>
          </w:p>
        </w:tc>
        <w:tc>
          <w:tcPr>
            <w:tcW w:type="dxa" w:w="1892"/>
            <w:shd w:val="clear" w:color="auto" w:fill="1F3864"/>
          </w:tcPr>
          <w:p>
            <w:r/>
            <w:r>
              <w:rPr>
                <w:rFonts w:ascii="Calibri" w:hAnsi="Calibri" w:cs="Calibri" w:eastAsia="Calibri"/>
                <w:b/>
                <w:i w:val="0"/>
                <w:color w:val="FFFFFF"/>
                <w:sz w:val="16"/>
                <w:szCs w:val="16"/>
                <w:bCs/>
              </w:rPr>
              <w:t>Impact and data affected</w:t>
            </w:r>
          </w:p>
        </w:tc>
        <w:tc>
          <w:tcPr>
            <w:tcW w:type="dxa" w:w="1892"/>
            <w:shd w:val="clear" w:color="auto" w:fill="1F3864"/>
          </w:tcPr>
          <w:p>
            <w:r/>
            <w:r>
              <w:rPr>
                <w:rFonts w:ascii="Calibri" w:hAnsi="Calibri" w:cs="Calibri" w:eastAsia="Calibri"/>
                <w:b/>
                <w:i w:val="0"/>
                <w:color w:val="FFFFFF"/>
                <w:sz w:val="16"/>
                <w:szCs w:val="16"/>
                <w:bCs/>
              </w:rPr>
              <w:t>Notifications</w:t>
            </w:r>
          </w:p>
        </w:tc>
        <w:tc>
          <w:tcPr>
            <w:tcW w:type="dxa" w:w="1892"/>
            <w:shd w:val="clear" w:color="auto" w:fill="1F3864"/>
          </w:tcPr>
          <w:p>
            <w:r/>
            <w:r>
              <w:rPr>
                <w:rFonts w:ascii="Calibri" w:hAnsi="Calibri" w:cs="Calibri" w:eastAsia="Calibri"/>
                <w:b/>
                <w:i w:val="0"/>
                <w:color w:val="FFFFFF"/>
                <w:sz w:val="16"/>
                <w:szCs w:val="16"/>
                <w:bCs/>
              </w:rPr>
              <w:t>Root cause</w:t>
            </w:r>
          </w:p>
        </w:tc>
        <w:tc>
          <w:tcPr>
            <w:tcW w:type="dxa" w:w="1892"/>
            <w:shd w:val="clear" w:color="auto" w:fill="1F3864"/>
          </w:tcPr>
          <w:p>
            <w:r/>
            <w:r>
              <w:rPr>
                <w:rFonts w:ascii="Calibri" w:hAnsi="Calibri" w:cs="Calibri" w:eastAsia="Calibri"/>
                <w:b/>
                <w:i w:val="0"/>
                <w:color w:val="FFFFFF"/>
                <w:sz w:val="16"/>
                <w:szCs w:val="16"/>
                <w:bCs/>
              </w:rPr>
              <w:t>Status and closed date</w:t>
            </w:r>
          </w:p>
        </w:tc>
      </w:tr>
      <w:tr>
        <w:tc>
          <w:tcPr>
            <w:tcW w:type="dxa" w:w="1892"/>
          </w:tcPr>
          <w:p>
            <w:r/>
            <w:r>
              <w:rPr>
                <w:rFonts w:ascii="Calibri" w:hAnsi="Calibri" w:cs="Calibri" w:eastAsia="Calibri"/>
                <w:b w:val="0"/>
                <w:i w:val="0"/>
                <w:sz w:val="16"/>
                <w:szCs w:val="16"/>
              </w:rPr>
              <w:t>INC-2026-014</w:t>
            </w:r>
          </w:p>
        </w:tc>
        <w:tc>
          <w:tcPr>
            <w:tcW w:type="dxa" w:w="1892"/>
          </w:tcPr>
          <w:p>
            <w:r/>
            <w:r>
              <w:rPr>
                <w:rFonts w:ascii="Calibri" w:hAnsi="Calibri" w:cs="Calibri" w:eastAsia="Calibri"/>
                <w:b w:val="0"/>
                <w:i w:val="0"/>
                <w:sz w:val="16"/>
                <w:szCs w:val="16"/>
              </w:rPr>
              <w:t>16/06/2026 14:20; declared 14:35</w:t>
            </w:r>
          </w:p>
        </w:tc>
        <w:tc>
          <w:tcPr>
            <w:tcW w:type="dxa" w:w="1892"/>
          </w:tcPr>
          <w:p>
            <w:r/>
            <w:r>
              <w:rPr>
                <w:rFonts w:ascii="Calibri" w:hAnsi="Calibri" w:cs="Calibri" w:eastAsia="Calibri"/>
                <w:b w:val="0"/>
                <w:i w:val="0"/>
                <w:sz w:val="16"/>
                <w:szCs w:val="16"/>
              </w:rPr>
              <w:t>BEC, SEV-2</w:t>
            </w:r>
          </w:p>
        </w:tc>
        <w:tc>
          <w:tcPr>
            <w:tcW w:type="dxa" w:w="1892"/>
          </w:tcPr>
          <w:p>
            <w:r/>
            <w:r>
              <w:rPr>
                <w:rFonts w:ascii="Calibri" w:hAnsi="Calibri" w:cs="Calibri" w:eastAsia="Calibri"/>
                <w:b w:val="0"/>
                <w:i w:val="0"/>
                <w:sz w:val="16"/>
                <w:szCs w:val="16"/>
              </w:rPr>
              <w:t>Procurement mailbox accessed via phished credentials; forwarding rule created; fake bank change request sent to finance</w:t>
            </w:r>
          </w:p>
        </w:tc>
        <w:tc>
          <w:tcPr>
            <w:tcW w:type="dxa" w:w="1892"/>
          </w:tcPr>
          <w:p>
            <w:r/>
            <w:r>
              <w:rPr>
                <w:rFonts w:ascii="Calibri" w:hAnsi="Calibri" w:cs="Calibri" w:eastAsia="Calibri"/>
                <w:b w:val="0"/>
                <w:i w:val="0"/>
                <w:sz w:val="16"/>
                <w:szCs w:val="16"/>
              </w:rPr>
              <w:t>One mailbox; no payment made; vendor contact data exposed</w:t>
            </w:r>
          </w:p>
        </w:tc>
        <w:tc>
          <w:tcPr>
            <w:tcW w:type="dxa" w:w="1892"/>
          </w:tcPr>
          <w:p>
            <w:r/>
            <w:r>
              <w:rPr>
                <w:rFonts w:ascii="Calibri" w:hAnsi="Calibri" w:cs="Calibri" w:eastAsia="Calibri"/>
                <w:b w:val="0"/>
                <w:i w:val="0"/>
                <w:sz w:val="16"/>
                <w:szCs w:val="16"/>
              </w:rPr>
              <w:t>PDPC: not notified (assessed no risk to rights; record kept); NCSA: not significant</w:t>
            </w:r>
          </w:p>
        </w:tc>
        <w:tc>
          <w:tcPr>
            <w:tcW w:type="dxa" w:w="1892"/>
          </w:tcPr>
          <w:p>
            <w:r/>
            <w:r>
              <w:rPr>
                <w:rFonts w:ascii="Calibri" w:hAnsi="Calibri" w:cs="Calibri" w:eastAsia="Calibri"/>
                <w:b w:val="0"/>
                <w:i w:val="0"/>
                <w:sz w:val="16"/>
                <w:szCs w:val="16"/>
              </w:rPr>
              <w:t>Phishing with MFA fatigue approval</w:t>
            </w:r>
          </w:p>
        </w:tc>
        <w:tc>
          <w:tcPr>
            <w:tcW w:type="dxa" w:w="1892"/>
          </w:tcPr>
          <w:p>
            <w:r/>
            <w:r>
              <w:rPr>
                <w:rFonts w:ascii="Calibri" w:hAnsi="Calibri" w:cs="Calibri" w:eastAsia="Calibri"/>
                <w:b w:val="0"/>
                <w:i w:val="0"/>
                <w:sz w:val="16"/>
                <w:szCs w:val="16"/>
              </w:rPr>
              <w:t>Closed 30/06/2026</w:t>
            </w:r>
          </w:p>
        </w:tc>
      </w:tr>
      <w:tr>
        <w:tc>
          <w:tcPr>
            <w:tcW w:type="dxa" w:w="1892"/>
          </w:tcPr>
          <w:p>
            <w:r/>
            <w:r>
              <w:rPr>
                <w:rFonts w:ascii="Calibri" w:hAnsi="Calibri" w:cs="Calibri" w:eastAsia="Calibri"/>
                <w:b w:val="0"/>
                <w:i w:val="0"/>
                <w:sz w:val="16"/>
                <w:szCs w:val="16"/>
              </w:rPr>
              <w:t>INC-2026-016</w:t>
            </w:r>
          </w:p>
        </w:tc>
        <w:tc>
          <w:tcPr>
            <w:tcW w:type="dxa" w:w="1892"/>
          </w:tcPr>
          <w:p>
            <w:r/>
            <w:r>
              <w:rPr>
                <w:rFonts w:ascii="Calibri" w:hAnsi="Calibri" w:cs="Calibri" w:eastAsia="Calibri"/>
                <w:b w:val="0"/>
                <w:i w:val="0"/>
                <w:sz w:val="16"/>
                <w:szCs w:val="16"/>
              </w:rPr>
              <w:t>18/06/2026 10:05</w:t>
            </w:r>
          </w:p>
        </w:tc>
        <w:tc>
          <w:tcPr>
            <w:tcW w:type="dxa" w:w="1892"/>
          </w:tcPr>
          <w:p>
            <w:r/>
            <w:r>
              <w:rPr>
                <w:rFonts w:ascii="Calibri" w:hAnsi="Calibri" w:cs="Calibri" w:eastAsia="Calibri"/>
                <w:b w:val="0"/>
                <w:i w:val="0"/>
                <w:sz w:val="16"/>
                <w:szCs w:val="16"/>
              </w:rPr>
              <w:t>Phishing, SEV-3</w:t>
            </w:r>
          </w:p>
        </w:tc>
        <w:tc>
          <w:tcPr>
            <w:tcW w:type="dxa" w:w="1892"/>
          </w:tcPr>
          <w:p>
            <w:r/>
            <w:r>
              <w:rPr>
                <w:rFonts w:ascii="Calibri" w:hAnsi="Calibri" w:cs="Calibri" w:eastAsia="Calibri"/>
                <w:b w:val="0"/>
                <w:i w:val="0"/>
                <w:sz w:val="16"/>
                <w:szCs w:val="16"/>
              </w:rPr>
              <w:t>Nurse entered password on phishing page from same campaign</w:t>
            </w:r>
          </w:p>
        </w:tc>
        <w:tc>
          <w:tcPr>
            <w:tcW w:type="dxa" w:w="1892"/>
          </w:tcPr>
          <w:p>
            <w:r/>
            <w:r>
              <w:rPr>
                <w:rFonts w:ascii="Calibri" w:hAnsi="Calibri" w:cs="Calibri" w:eastAsia="Calibri"/>
                <w:b w:val="0"/>
                <w:i w:val="0"/>
                <w:sz w:val="16"/>
                <w:szCs w:val="16"/>
              </w:rPr>
              <w:t>One account; no access found</w:t>
            </w:r>
          </w:p>
        </w:tc>
        <w:tc>
          <w:tcPr>
            <w:tcW w:type="dxa" w:w="1892"/>
          </w:tcPr>
          <w:p>
            <w:r/>
            <w:r>
              <w:rPr>
                <w:rFonts w:ascii="Calibri" w:hAnsi="Calibri" w:cs="Calibri" w:eastAsia="Calibri"/>
                <w:b w:val="0"/>
                <w:i w:val="0"/>
                <w:sz w:val="16"/>
                <w:szCs w:val="16"/>
              </w:rPr>
              <w:t>None required</w:t>
            </w:r>
          </w:p>
        </w:tc>
        <w:tc>
          <w:tcPr>
            <w:tcW w:type="dxa" w:w="1892"/>
          </w:tcPr>
          <w:p>
            <w:r/>
            <w:r>
              <w:rPr>
                <w:rFonts w:ascii="Calibri" w:hAnsi="Calibri" w:cs="Calibri" w:eastAsia="Calibri"/>
                <w:b w:val="0"/>
                <w:i w:val="0"/>
                <w:sz w:val="16"/>
                <w:szCs w:val="16"/>
              </w:rPr>
              <w:t>Phishing</w:t>
            </w:r>
          </w:p>
        </w:tc>
        <w:tc>
          <w:tcPr>
            <w:tcW w:type="dxa" w:w="1892"/>
          </w:tcPr>
          <w:p>
            <w:r/>
            <w:r>
              <w:rPr>
                <w:rFonts w:ascii="Calibri" w:hAnsi="Calibri" w:cs="Calibri" w:eastAsia="Calibri"/>
                <w:b w:val="0"/>
                <w:i w:val="0"/>
                <w:sz w:val="16"/>
                <w:szCs w:val="16"/>
              </w:rPr>
              <w:t>Closed 19/06/2026</w:t>
            </w:r>
          </w:p>
        </w:tc>
      </w:tr>
      <w:tr>
        <w:tc>
          <w:tcPr>
            <w:tcW w:type="dxa" w:w="1892"/>
          </w:tcPr>
          <w:p>
            <w:r/>
            <w:r>
              <w:rPr>
                <w:rFonts w:ascii="Calibri" w:hAnsi="Calibri" w:cs="Calibri" w:eastAsia="Calibri"/>
                <w:b w:val="0"/>
                <w:i w:val="0"/>
                <w:sz w:val="16"/>
                <w:szCs w:val="16"/>
              </w:rPr>
              <w:t>INC-2026-021</w:t>
            </w:r>
          </w:p>
        </w:tc>
        <w:tc>
          <w:tcPr>
            <w:tcW w:type="dxa" w:w="1892"/>
          </w:tcPr>
          <w:p>
            <w:r/>
            <w:r>
              <w:rPr>
                <w:rFonts w:ascii="Calibri" w:hAnsi="Calibri" w:cs="Calibri" w:eastAsia="Calibri"/>
                <w:b w:val="0"/>
                <w:i w:val="0"/>
                <w:sz w:val="16"/>
                <w:szCs w:val="16"/>
              </w:rPr>
              <w:t>12/08/2026 09:40</w:t>
            </w:r>
          </w:p>
        </w:tc>
        <w:tc>
          <w:tcPr>
            <w:tcW w:type="dxa" w:w="1892"/>
          </w:tcPr>
          <w:p>
            <w:r/>
            <w:r>
              <w:rPr>
                <w:rFonts w:ascii="Calibri" w:hAnsi="Calibri" w:cs="Calibri" w:eastAsia="Calibri"/>
                <w:b w:val="0"/>
                <w:i w:val="0"/>
                <w:sz w:val="16"/>
                <w:szCs w:val="16"/>
              </w:rPr>
              <w:t>Third-party access, SEV-2</w:t>
            </w:r>
          </w:p>
        </w:tc>
        <w:tc>
          <w:tcPr>
            <w:tcW w:type="dxa" w:w="1892"/>
          </w:tcPr>
          <w:p>
            <w:r/>
            <w:r>
              <w:rPr>
                <w:rFonts w:ascii="Calibri" w:hAnsi="Calibri" w:cs="Calibri" w:eastAsia="Calibri"/>
                <w:b w:val="0"/>
                <w:i w:val="0"/>
                <w:sz w:val="16"/>
                <w:szCs w:val="16"/>
              </w:rPr>
              <w:t>Unapproved vendor remote support agent found active on two modality workstations</w:t>
            </w:r>
          </w:p>
        </w:tc>
        <w:tc>
          <w:tcPr>
            <w:tcW w:type="dxa" w:w="1892"/>
          </w:tcPr>
          <w:p>
            <w:r/>
            <w:r>
              <w:rPr>
                <w:rFonts w:ascii="Calibri" w:hAnsi="Calibri" w:cs="Calibri" w:eastAsia="Calibri"/>
                <w:b w:val="0"/>
                <w:i w:val="0"/>
                <w:sz w:val="16"/>
                <w:szCs w:val="16"/>
              </w:rPr>
              <w:t>No malicious use found</w:t>
            </w:r>
          </w:p>
        </w:tc>
        <w:tc>
          <w:tcPr>
            <w:tcW w:type="dxa" w:w="1892"/>
          </w:tcPr>
          <w:p>
            <w:r/>
            <w:r>
              <w:rPr>
                <w:rFonts w:ascii="Calibri" w:hAnsi="Calibri" w:cs="Calibri" w:eastAsia="Calibri"/>
                <w:b w:val="0"/>
                <w:i w:val="0"/>
                <w:sz w:val="16"/>
                <w:szCs w:val="16"/>
              </w:rPr>
              <w:t>None required</w:t>
            </w:r>
          </w:p>
        </w:tc>
        <w:tc>
          <w:tcPr>
            <w:tcW w:type="dxa" w:w="1892"/>
          </w:tcPr>
          <w:p>
            <w:r/>
            <w:r>
              <w:rPr>
                <w:rFonts w:ascii="Calibri" w:hAnsi="Calibri" w:cs="Calibri" w:eastAsia="Calibri"/>
                <w:b w:val="0"/>
                <w:i w:val="0"/>
                <w:sz w:val="16"/>
                <w:szCs w:val="16"/>
              </w:rPr>
              <w:t>Vendor installed tool outside contract</w:t>
            </w:r>
          </w:p>
        </w:tc>
        <w:tc>
          <w:tcPr>
            <w:tcW w:type="dxa" w:w="1892"/>
          </w:tcPr>
          <w:p>
            <w:r/>
            <w:r>
              <w:rPr>
                <w:rFonts w:ascii="Calibri" w:hAnsi="Calibri" w:cs="Calibri" w:eastAsia="Calibri"/>
                <w:b w:val="0"/>
                <w:i w:val="0"/>
                <w:sz w:val="16"/>
                <w:szCs w:val="16"/>
              </w:rPr>
              <w:t>Closed 22/08/2026</w:t>
            </w:r>
          </w:p>
        </w:tc>
      </w:tr>
      <w:tr>
        <w:tc>
          <w:tcPr>
            <w:tcW w:type="dxa" w:w="1892"/>
          </w:tcPr>
          <w:p>
            <w:r/>
            <w:r>
              <w:rPr>
                <w:rFonts w:ascii="Calibri" w:hAnsi="Calibri" w:cs="Calibri" w:eastAsia="Calibri"/>
                <w:b w:val="0"/>
                <w:i w:val="0"/>
                <w:sz w:val="16"/>
                <w:szCs w:val="16"/>
              </w:rPr>
              <w:t>INC-2026-027</w:t>
            </w:r>
          </w:p>
        </w:tc>
        <w:tc>
          <w:tcPr>
            <w:tcW w:type="dxa" w:w="1892"/>
          </w:tcPr>
          <w:p>
            <w:r/>
            <w:r>
              <w:rPr>
                <w:rFonts w:ascii="Calibri" w:hAnsi="Calibri" w:cs="Calibri" w:eastAsia="Calibri"/>
                <w:b w:val="0"/>
                <w:i w:val="0"/>
                <w:sz w:val="16"/>
                <w:szCs w:val="16"/>
              </w:rPr>
              <w:t>03/09/2026 23:10</w:t>
            </w:r>
          </w:p>
        </w:tc>
        <w:tc>
          <w:tcPr>
            <w:tcW w:type="dxa" w:w="1892"/>
          </w:tcPr>
          <w:p>
            <w:r/>
            <w:r>
              <w:rPr>
                <w:rFonts w:ascii="Calibri" w:hAnsi="Calibri" w:cs="Calibri" w:eastAsia="Calibri"/>
                <w:b w:val="0"/>
                <w:i w:val="0"/>
                <w:sz w:val="16"/>
                <w:szCs w:val="16"/>
              </w:rPr>
              <w:t>Malware, SEV-3</w:t>
            </w:r>
          </w:p>
        </w:tc>
        <w:tc>
          <w:tcPr>
            <w:tcW w:type="dxa" w:w="1892"/>
          </w:tcPr>
          <w:p>
            <w:r/>
            <w:r>
              <w:rPr>
                <w:rFonts w:ascii="Calibri" w:hAnsi="Calibri" w:cs="Calibri" w:eastAsia="Calibri"/>
                <w:b w:val="0"/>
                <w:i w:val="0"/>
                <w:sz w:val="16"/>
                <w:szCs w:val="16"/>
              </w:rPr>
              <w:t>EDR blocked info-stealer on an office laptop</w:t>
            </w:r>
          </w:p>
        </w:tc>
        <w:tc>
          <w:tcPr>
            <w:tcW w:type="dxa" w:w="1892"/>
          </w:tcPr>
          <w:p>
            <w:r/>
            <w:r>
              <w:rPr>
                <w:rFonts w:ascii="Calibri" w:hAnsi="Calibri" w:cs="Calibri" w:eastAsia="Calibri"/>
                <w:b w:val="0"/>
                <w:i w:val="0"/>
                <w:sz w:val="16"/>
                <w:szCs w:val="16"/>
              </w:rPr>
              <w:t>None</w:t>
            </w:r>
          </w:p>
        </w:tc>
        <w:tc>
          <w:tcPr>
            <w:tcW w:type="dxa" w:w="1892"/>
          </w:tcPr>
          <w:p>
            <w:r/>
            <w:r>
              <w:rPr>
                <w:rFonts w:ascii="Calibri" w:hAnsi="Calibri" w:cs="Calibri" w:eastAsia="Calibri"/>
                <w:b w:val="0"/>
                <w:i w:val="0"/>
                <w:sz w:val="16"/>
                <w:szCs w:val="16"/>
              </w:rPr>
              <w:t>None required</w:t>
            </w:r>
          </w:p>
        </w:tc>
        <w:tc>
          <w:tcPr>
            <w:tcW w:type="dxa" w:w="1892"/>
          </w:tcPr>
          <w:p>
            <w:r/>
            <w:r>
              <w:rPr>
                <w:rFonts w:ascii="Calibri" w:hAnsi="Calibri" w:cs="Calibri" w:eastAsia="Calibri"/>
                <w:b w:val="0"/>
                <w:i w:val="0"/>
                <w:sz w:val="16"/>
                <w:szCs w:val="16"/>
              </w:rPr>
              <w:t>Malicious download</w:t>
            </w:r>
          </w:p>
        </w:tc>
        <w:tc>
          <w:tcPr>
            <w:tcW w:type="dxa" w:w="1892"/>
          </w:tcPr>
          <w:p>
            <w:r/>
            <w:r>
              <w:rPr>
                <w:rFonts w:ascii="Calibri" w:hAnsi="Calibri" w:cs="Calibri" w:eastAsia="Calibri"/>
                <w:b w:val="0"/>
                <w:i w:val="0"/>
                <w:sz w:val="16"/>
                <w:szCs w:val="16"/>
              </w:rPr>
              <w:t>Closed 04/09/2026</w:t>
            </w:r>
          </w:p>
        </w:tc>
      </w:tr>
    </w:tbl>
    <w:p>
      <w:pPr>
        <w:spacing w:after="40"/>
      </w:pPr>
    </w:p>
    <w:p>
      <w:pPr>
        <w:sectPr>
          <w:pgSz w:w="16838" w:h="11906" w:orient="landscape"/>
          <w:pgMar w:top="1134" w:right="850" w:bottom="1020" w:left="850"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4.5 Register Change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Track changes to the register itself (additions, closures, and periodic reviews) so reviewers can see how it evolved.</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80"/>
        <w:gridCol w:w="1701"/>
        <w:gridCol w:w="4989"/>
        <w:gridCol w:w="1984"/>
      </w:tblGrid>
      <w:tr>
        <w:trPr>
          <w:tblHeader w:val="true"/>
        </w:trPr>
        <w:tc>
          <w:tcPr>
            <w:tcW w:type="dxa" w:w="680"/>
            <w:shd w:val="clear" w:color="auto" w:fill="1F3864"/>
          </w:tcPr>
          <w:p>
            <w:r/>
            <w:r>
              <w:rPr>
                <w:rFonts w:ascii="Calibri" w:hAnsi="Calibri" w:cs="Calibri" w:eastAsia="Calibri"/>
                <w:b/>
                <w:i w:val="0"/>
                <w:color w:val="FFFFFF"/>
                <w:sz w:val="18"/>
                <w:szCs w:val="18"/>
                <w:bCs/>
              </w:rPr>
              <w:t>No.</w:t>
            </w:r>
          </w:p>
        </w:tc>
        <w:tc>
          <w:tcPr>
            <w:tcW w:type="dxa" w:w="1701"/>
            <w:shd w:val="clear" w:color="auto" w:fill="1F3864"/>
          </w:tcPr>
          <w:p>
            <w:r/>
            <w:r>
              <w:rPr>
                <w:rFonts w:ascii="Calibri" w:hAnsi="Calibri" w:cs="Calibri" w:eastAsia="Calibri"/>
                <w:b/>
                <w:i w:val="0"/>
                <w:color w:val="FFFFFF"/>
                <w:sz w:val="18"/>
                <w:szCs w:val="18"/>
                <w:bCs/>
              </w:rPr>
              <w:t>Date</w:t>
            </w:r>
          </w:p>
        </w:tc>
        <w:tc>
          <w:tcPr>
            <w:tcW w:type="dxa" w:w="4989"/>
            <w:shd w:val="clear" w:color="auto" w:fill="1F3864"/>
          </w:tcPr>
          <w:p>
            <w:r/>
            <w:r>
              <w:rPr>
                <w:rFonts w:ascii="Calibri" w:hAnsi="Calibri" w:cs="Calibri" w:eastAsia="Calibri"/>
                <w:b/>
                <w:i w:val="0"/>
                <w:color w:val="FFFFFF"/>
                <w:sz w:val="18"/>
                <w:szCs w:val="18"/>
                <w:bCs/>
              </w:rPr>
              <w:t>Description of Change</w:t>
            </w:r>
          </w:p>
        </w:tc>
        <w:tc>
          <w:tcPr>
            <w:tcW w:type="dxa" w:w="1984"/>
            <w:shd w:val="clear" w:color="auto" w:fill="1F3864"/>
          </w:tcPr>
          <w:p>
            <w:r/>
            <w:r>
              <w:rPr>
                <w:rFonts w:ascii="Calibri" w:hAnsi="Calibri" w:cs="Calibri" w:eastAsia="Calibri"/>
                <w:b/>
                <w:i w:val="0"/>
                <w:color w:val="FFFFFF"/>
                <w:sz w:val="18"/>
                <w:szCs w:val="18"/>
                <w:bCs/>
              </w:rPr>
              <w:t>Prepared By</w:t>
            </w:r>
          </w:p>
        </w:tc>
      </w:tr>
      <w:tr>
        <w:tc>
          <w:tcPr>
            <w:tcW w:type="dxa" w:w="680"/>
          </w:tcPr>
          <w:p>
            <w:r/>
            <w:r>
              <w:rPr>
                <w:rFonts w:ascii="Calibri" w:hAnsi="Calibri" w:cs="Calibri" w:eastAsia="Calibri"/>
                <w:b w:val="0"/>
                <w:i w:val="0"/>
                <w:sz w:val="18"/>
                <w:szCs w:val="18"/>
              </w:rPr>
              <w:t>1</w:t>
            </w:r>
          </w:p>
        </w:tc>
        <w:tc>
          <w:tcPr>
            <w:tcW w:type="dxa" w:w="1701"/>
          </w:tcPr>
          <w:p>
            <w:r/>
            <w:r>
              <w:rPr>
                <w:rFonts w:ascii="Calibri" w:hAnsi="Calibri" w:cs="Calibri" w:eastAsia="Calibri"/>
                <w:b w:val="0"/>
                <w:i w:val="0"/>
                <w:sz w:val="18"/>
                <w:szCs w:val="18"/>
              </w:rPr>
              <w:t>31 March 2026</w:t>
            </w:r>
          </w:p>
        </w:tc>
        <w:tc>
          <w:tcPr>
            <w:tcW w:type="dxa" w:w="4989"/>
          </w:tcPr>
          <w:p>
            <w:r/>
            <w:r>
              <w:rPr>
                <w:rFonts w:ascii="Calibri" w:hAnsi="Calibri" w:cs="Calibri" w:eastAsia="Calibri"/>
                <w:b w:val="0"/>
                <w:i w:val="0"/>
                <w:sz w:val="18"/>
                <w:szCs w:val="18"/>
              </w:rPr>
              <w:t>Q1 2026 review completed; entries updated and stale entries closed.</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2</w:t>
            </w:r>
          </w:p>
        </w:tc>
        <w:tc>
          <w:tcPr>
            <w:tcW w:type="dxa" w:w="1701"/>
          </w:tcPr>
          <w:p>
            <w:r/>
            <w:r>
              <w:rPr>
                <w:rFonts w:ascii="Calibri" w:hAnsi="Calibri" w:cs="Calibri" w:eastAsia="Calibri"/>
                <w:b w:val="0"/>
                <w:i w:val="0"/>
                <w:sz w:val="18"/>
                <w:szCs w:val="18"/>
              </w:rPr>
              <w:t>30 June 2026</w:t>
            </w:r>
          </w:p>
        </w:tc>
        <w:tc>
          <w:tcPr>
            <w:tcW w:type="dxa" w:w="4989"/>
          </w:tcPr>
          <w:p>
            <w:r/>
            <w:r>
              <w:rPr>
                <w:rFonts w:ascii="Calibri" w:hAnsi="Calibri" w:cs="Calibri" w:eastAsia="Calibri"/>
                <w:b w:val="0"/>
                <w:i w:val="0"/>
                <w:sz w:val="18"/>
                <w:szCs w:val="18"/>
              </w:rPr>
              <w:t>Q2 2026 review completed; new entries added from audit and incident follow-up.</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3</w:t>
            </w:r>
          </w:p>
        </w:tc>
        <w:tc>
          <w:tcPr>
            <w:tcW w:type="dxa" w:w="1701"/>
          </w:tcPr>
          <w:p>
            <w:r/>
            <w:r>
              <w:rPr>
                <w:rFonts w:ascii="Calibri" w:hAnsi="Calibri" w:cs="Calibri" w:eastAsia="Calibri"/>
                <w:b w:val="0"/>
                <w:i w:val="0"/>
                <w:sz w:val="18"/>
                <w:szCs w:val="18"/>
              </w:rPr>
              <w:t>30 September 2026</w:t>
            </w:r>
          </w:p>
        </w:tc>
        <w:tc>
          <w:tcPr>
            <w:tcW w:type="dxa" w:w="4989"/>
          </w:tcPr>
          <w:p>
            <w:r/>
            <w:r>
              <w:rPr>
                <w:rFonts w:ascii="Calibri" w:hAnsi="Calibri" w:cs="Calibri" w:eastAsia="Calibri"/>
                <w:b w:val="0"/>
                <w:i w:val="0"/>
                <w:sz w:val="18"/>
                <w:szCs w:val="18"/>
              </w:rPr>
              <w:t>Q3 2026 review completed; owners confirmed for all open entries.</w:t>
            </w:r>
          </w:p>
        </w:tc>
        <w:tc>
          <w:tcPr>
            <w:tcW w:type="dxa" w:w="1984"/>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Record near misses and SEV-4 events as well; trends show where controls need work.</w:t>
      </w:r>
    </w:p>
    <w:p>
      <w:pPr>
        <w:pStyle w:val="ListBullet"/>
        <w:spacing w:after="40"/>
      </w:pPr>
      <w:r>
        <w:rPr>
          <w:rFonts w:ascii="Calibri" w:hAnsi="Calibri" w:cs="Calibri" w:eastAsia="Calibri"/>
          <w:b w:val="0"/>
          <w:i w:val="0"/>
          <w:sz w:val="21"/>
          <w:szCs w:val="21"/>
        </w:rPr>
        <w:t>Record the reasoning for each notification decision, including decisions not to notify.</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Incidents tracked only in chat messages with no central record.</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RS.MA-02: Incident reports are triaged and validated</w:t>
            </w:r>
          </w:p>
          <w:p>
            <w:r>
              <w:rPr>
                <w:rFonts w:ascii="Calibri" w:hAnsi="Calibri" w:cs="Calibri" w:eastAsia="Calibri"/>
                <w:b w:val="0"/>
                <w:i w:val="0"/>
                <w:sz w:val="18"/>
                <w:szCs w:val="18"/>
              </w:rPr>
              <w:t>RS.MA-03: Incidents are categorized and prioritized</w:t>
            </w:r>
          </w:p>
          <w:p>
            <w:r>
              <w:rPr>
                <w:rFonts w:ascii="Calibri" w:hAnsi="Calibri" w:cs="Calibri" w:eastAsia="Calibri"/>
                <w:b w:val="0"/>
                <w:i w:val="0"/>
                <w:sz w:val="18"/>
                <w:szCs w:val="18"/>
              </w:rPr>
              <w:t>RS.AN-03: Analysis is performed to establish what has taken place during an incident and the root cause</w:t>
            </w:r>
          </w:p>
          <w:p>
            <w:r>
              <w:rPr>
                <w:rFonts w:ascii="Calibri" w:hAnsi="Calibri" w:cs="Calibri" w:eastAsia="Calibri"/>
                <w:b w:val="0"/>
                <w:i w:val="0"/>
                <w:sz w:val="18"/>
                <w:szCs w:val="18"/>
              </w:rPr>
              <w:t>RS.AN-08: An incident's magnitude is estimated and validated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A.5.25, Annex A.5.26</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IR-5</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5.25 and 5.26</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RS-PRC-001: Incident Handling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RS-REG-001  |  Incident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