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Crisis Management Plan</w:t>
      </w:r>
    </w:p>
    <w:p>
      <w:pPr>
        <w:spacing w:after="80" w:before="0"/>
      </w:pPr>
      <w:r>
        <w:rPr>
          <w:rFonts w:ascii="Calibri" w:hAnsi="Calibri" w:cs="Calibri" w:eastAsia="Calibri"/>
          <w:b w:val="0"/>
          <w:i w:val="0"/>
          <w:color w:val="595959"/>
          <w:sz w:val="18"/>
          <w:szCs w:val="18"/>
        </w:rPr>
        <w:t>RC-PLN-003  |  Plan  |  Incident Recovery Communication (RC.CO)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RC-PLN-003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Crisis Management Plan</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BCM Coordinator, Quality and Risk Management Department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18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18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Communication (RC.CO)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 22361:2022; ISO 22301:2019 Clause 8.4.2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18 July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sets how senior leaders manage a crisis that threatens people, operations, reputation, or legal standing, including team structure, decision-making, and stakeholder communication (RC.CO-03, RC.CO-04).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Crisis Management Team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membership, roles, and meeting rhythm.</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2551"/>
        <w:gridCol w:w="4819"/>
      </w:tblGrid>
      <w:tr>
        <w:trPr>
          <w:tblHeader w:val="true"/>
        </w:trPr>
        <w:tc>
          <w:tcPr>
            <w:tcW w:type="dxa" w:w="1984"/>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Member</w:t>
            </w:r>
          </w:p>
        </w:tc>
        <w:tc>
          <w:tcPr>
            <w:tcW w:type="dxa" w:w="4819"/>
            <w:shd w:val="clear" w:color="auto" w:fill="1F3864"/>
          </w:tcPr>
          <w:p>
            <w:r/>
            <w:r>
              <w:rPr>
                <w:rFonts w:ascii="Calibri" w:hAnsi="Calibri" w:cs="Calibri" w:eastAsia="Calibri"/>
                <w:b/>
                <w:i w:val="0"/>
                <w:color w:val="FFFFFF"/>
                <w:sz w:val="18"/>
                <w:szCs w:val="18"/>
                <w:bCs/>
              </w:rPr>
              <w:t>Responsibility</w:t>
            </w:r>
          </w:p>
        </w:tc>
      </w:tr>
      <w:tr>
        <w:tc>
          <w:tcPr>
            <w:tcW w:type="dxa" w:w="1984"/>
          </w:tcPr>
          <w:p>
            <w:r/>
            <w:r>
              <w:rPr>
                <w:rFonts w:ascii="Calibri" w:hAnsi="Calibri" w:cs="Calibri" w:eastAsia="Calibri"/>
                <w:b w:val="0"/>
                <w:i w:val="0"/>
                <w:sz w:val="18"/>
                <w:szCs w:val="18"/>
              </w:rPr>
              <w:t>Chair</w:t>
            </w:r>
          </w:p>
        </w:tc>
        <w:tc>
          <w:tcPr>
            <w:tcW w:type="dxa" w:w="2551"/>
          </w:tcPr>
          <w:p>
            <w:r/>
            <w:r>
              <w:rPr>
                <w:rFonts w:ascii="Calibri" w:hAnsi="Calibri" w:cs="Calibri" w:eastAsia="Calibri"/>
                <w:b w:val="0"/>
                <w:i w:val="0"/>
                <w:sz w:val="18"/>
                <w:szCs w:val="18"/>
              </w:rPr>
              <w:t>Chief Executive Officer (CEO)</w:t>
            </w:r>
          </w:p>
        </w:tc>
        <w:tc>
          <w:tcPr>
            <w:tcW w:type="dxa" w:w="4819"/>
          </w:tcPr>
          <w:p>
            <w:r/>
            <w:r>
              <w:rPr>
                <w:rFonts w:ascii="Calibri" w:hAnsi="Calibri" w:cs="Calibri" w:eastAsia="Calibri"/>
                <w:b w:val="0"/>
                <w:i w:val="0"/>
                <w:sz w:val="18"/>
                <w:szCs w:val="18"/>
              </w:rPr>
              <w:t>Final decisions, external spokesperson or delegate</w:t>
            </w:r>
          </w:p>
        </w:tc>
      </w:tr>
      <w:tr>
        <w:tc>
          <w:tcPr>
            <w:tcW w:type="dxa" w:w="1984"/>
          </w:tcPr>
          <w:p>
            <w:r/>
            <w:r>
              <w:rPr>
                <w:rFonts w:ascii="Calibri" w:hAnsi="Calibri" w:cs="Calibri" w:eastAsia="Calibri"/>
                <w:b w:val="0"/>
                <w:i w:val="0"/>
                <w:sz w:val="18"/>
                <w:szCs w:val="18"/>
              </w:rPr>
              <w:t>Operations</w:t>
            </w:r>
          </w:p>
        </w:tc>
        <w:tc>
          <w:tcPr>
            <w:tcW w:type="dxa" w:w="2551"/>
          </w:tcPr>
          <w:p>
            <w:r/>
            <w:r>
              <w:rPr>
                <w:rFonts w:ascii="Calibri" w:hAnsi="Calibri" w:cs="Calibri" w:eastAsia="Calibri"/>
                <w:b w:val="0"/>
                <w:i w:val="0"/>
                <w:sz w:val="18"/>
                <w:szCs w:val="18"/>
              </w:rPr>
              <w:t>Business heads</w:t>
            </w:r>
          </w:p>
        </w:tc>
        <w:tc>
          <w:tcPr>
            <w:tcW w:type="dxa" w:w="4819"/>
          </w:tcPr>
          <w:p>
            <w:r/>
            <w:r>
              <w:rPr>
                <w:rFonts w:ascii="Calibri" w:hAnsi="Calibri" w:cs="Calibri" w:eastAsia="Calibri"/>
                <w:b w:val="0"/>
                <w:i w:val="0"/>
                <w:sz w:val="18"/>
                <w:szCs w:val="18"/>
              </w:rPr>
              <w:t>Service continuity and workarounds</w:t>
            </w:r>
          </w:p>
        </w:tc>
      </w:tr>
      <w:tr>
        <w:tc>
          <w:tcPr>
            <w:tcW w:type="dxa" w:w="1984"/>
          </w:tcPr>
          <w:p>
            <w:r/>
            <w:r>
              <w:rPr>
                <w:rFonts w:ascii="Calibri" w:hAnsi="Calibri" w:cs="Calibri" w:eastAsia="Calibri"/>
                <w:b w:val="0"/>
                <w:i w:val="0"/>
                <w:sz w:val="18"/>
                <w:szCs w:val="18"/>
              </w:rPr>
              <w:t>Technology</w:t>
            </w:r>
          </w:p>
        </w:tc>
        <w:tc>
          <w:tcPr>
            <w:tcW w:type="dxa" w:w="2551"/>
          </w:tcPr>
          <w:p>
            <w:r/>
            <w:r>
              <w:rPr>
                <w:rFonts w:ascii="Calibri" w:hAnsi="Calibri" w:cs="Calibri" w:eastAsia="Calibri"/>
                <w:b w:val="0"/>
                <w:i w:val="0"/>
                <w:sz w:val="18"/>
                <w:szCs w:val="18"/>
              </w:rPr>
              <w:t>Chief Information Officer (CIO), Security Manager</w:t>
            </w:r>
          </w:p>
        </w:tc>
        <w:tc>
          <w:tcPr>
            <w:tcW w:type="dxa" w:w="4819"/>
          </w:tcPr>
          <w:p>
            <w:r/>
            <w:r>
              <w:rPr>
                <w:rFonts w:ascii="Calibri" w:hAnsi="Calibri" w:cs="Calibri" w:eastAsia="Calibri"/>
                <w:b w:val="0"/>
                <w:i w:val="0"/>
                <w:sz w:val="18"/>
                <w:szCs w:val="18"/>
              </w:rPr>
              <w:t>Incident status, recovery timeline</w:t>
            </w:r>
          </w:p>
        </w:tc>
      </w:tr>
      <w:tr>
        <w:tc>
          <w:tcPr>
            <w:tcW w:type="dxa" w:w="1984"/>
          </w:tcPr>
          <w:p>
            <w:r/>
            <w:r>
              <w:rPr>
                <w:rFonts w:ascii="Calibri" w:hAnsi="Calibri" w:cs="Calibri" w:eastAsia="Calibri"/>
                <w:b w:val="0"/>
                <w:i w:val="0"/>
                <w:sz w:val="18"/>
                <w:szCs w:val="18"/>
              </w:rPr>
              <w:t>Legal and compliance</w:t>
            </w:r>
          </w:p>
        </w:tc>
        <w:tc>
          <w:tcPr>
            <w:tcW w:type="dxa" w:w="2551"/>
          </w:tcPr>
          <w:p>
            <w:r/>
            <w:r>
              <w:rPr>
                <w:rFonts w:ascii="Calibri" w:hAnsi="Calibri" w:cs="Calibri" w:eastAsia="Calibri"/>
                <w:b w:val="0"/>
                <w:i w:val="0"/>
                <w:sz w:val="18"/>
                <w:szCs w:val="18"/>
              </w:rPr>
              <w:t>Legal Counsel, Data Protection Officer (DPO)</w:t>
            </w:r>
          </w:p>
        </w:tc>
        <w:tc>
          <w:tcPr>
            <w:tcW w:type="dxa" w:w="4819"/>
          </w:tcPr>
          <w:p>
            <w:r/>
            <w:r>
              <w:rPr>
                <w:rFonts w:ascii="Calibri" w:hAnsi="Calibri" w:cs="Calibri" w:eastAsia="Calibri"/>
                <w:b w:val="0"/>
                <w:i w:val="0"/>
                <w:sz w:val="18"/>
                <w:szCs w:val="18"/>
              </w:rPr>
              <w:t>Notifications, legal exposure</w:t>
            </w:r>
          </w:p>
        </w:tc>
      </w:tr>
      <w:tr>
        <w:tc>
          <w:tcPr>
            <w:tcW w:type="dxa" w:w="1984"/>
          </w:tcPr>
          <w:p>
            <w:r/>
            <w:r>
              <w:rPr>
                <w:rFonts w:ascii="Calibri" w:hAnsi="Calibri" w:cs="Calibri" w:eastAsia="Calibri"/>
                <w:b w:val="0"/>
                <w:i w:val="0"/>
                <w:sz w:val="18"/>
                <w:szCs w:val="18"/>
              </w:rPr>
              <w:t>Communications</w:t>
            </w:r>
          </w:p>
        </w:tc>
        <w:tc>
          <w:tcPr>
            <w:tcW w:type="dxa" w:w="2551"/>
          </w:tcPr>
          <w:p>
            <w:r/>
            <w:r>
              <w:rPr>
                <w:rFonts w:ascii="Calibri" w:hAnsi="Calibri" w:cs="Calibri" w:eastAsia="Calibri"/>
                <w:b w:val="0"/>
                <w:i w:val="0"/>
                <w:sz w:val="18"/>
                <w:szCs w:val="18"/>
              </w:rPr>
              <w:t>Corporate Communications Manager</w:t>
            </w:r>
          </w:p>
        </w:tc>
        <w:tc>
          <w:tcPr>
            <w:tcW w:type="dxa" w:w="4819"/>
          </w:tcPr>
          <w:p>
            <w:r/>
            <w:r>
              <w:rPr>
                <w:rFonts w:ascii="Calibri" w:hAnsi="Calibri" w:cs="Calibri" w:eastAsia="Calibri"/>
                <w:b w:val="0"/>
                <w:i w:val="0"/>
                <w:sz w:val="18"/>
                <w:szCs w:val="18"/>
              </w:rPr>
              <w:t>Messages to staff, customers, media</w:t>
            </w:r>
          </w:p>
        </w:tc>
      </w:tr>
      <w:tr>
        <w:tc>
          <w:tcPr>
            <w:tcW w:type="dxa" w:w="1984"/>
          </w:tcPr>
          <w:p>
            <w:r/>
            <w:r>
              <w:rPr>
                <w:rFonts w:ascii="Calibri" w:hAnsi="Calibri" w:cs="Calibri" w:eastAsia="Calibri"/>
                <w:b w:val="0"/>
                <w:i w:val="0"/>
                <w:sz w:val="18"/>
                <w:szCs w:val="18"/>
              </w:rPr>
              <w:t>Finance</w:t>
            </w:r>
          </w:p>
        </w:tc>
        <w:tc>
          <w:tcPr>
            <w:tcW w:type="dxa" w:w="2551"/>
          </w:tcPr>
          <w:p>
            <w:r/>
            <w:r>
              <w:rPr>
                <w:rFonts w:ascii="Calibri" w:hAnsi="Calibri" w:cs="Calibri" w:eastAsia="Calibri"/>
                <w:b w:val="0"/>
                <w:i w:val="0"/>
                <w:sz w:val="18"/>
                <w:szCs w:val="18"/>
              </w:rPr>
              <w:t>Chief Financial Officer (CFO)</w:t>
            </w:r>
          </w:p>
        </w:tc>
        <w:tc>
          <w:tcPr>
            <w:tcW w:type="dxa" w:w="4819"/>
          </w:tcPr>
          <w:p>
            <w:r/>
            <w:r>
              <w:rPr>
                <w:rFonts w:ascii="Calibri" w:hAnsi="Calibri" w:cs="Calibri" w:eastAsia="Calibri"/>
                <w:b w:val="0"/>
                <w:i w:val="0"/>
                <w:sz w:val="18"/>
                <w:szCs w:val="18"/>
              </w:rPr>
              <w:t>Costs, insurance, payments</w:t>
            </w:r>
          </w:p>
        </w:tc>
      </w:tr>
      <w:tr>
        <w:tc>
          <w:tcPr>
            <w:tcW w:type="dxa" w:w="1984"/>
          </w:tcPr>
          <w:p>
            <w:r/>
            <w:r>
              <w:rPr>
                <w:rFonts w:ascii="Calibri" w:hAnsi="Calibri" w:cs="Calibri" w:eastAsia="Calibri"/>
                <w:b w:val="0"/>
                <w:i w:val="0"/>
                <w:sz w:val="18"/>
                <w:szCs w:val="18"/>
              </w:rPr>
              <w:t>Coordinator</w:t>
            </w:r>
          </w:p>
        </w:tc>
        <w:tc>
          <w:tcPr>
            <w:tcW w:type="dxa" w:w="2551"/>
          </w:tcPr>
          <w:p>
            <w:r/>
            <w:r>
              <w:rPr>
                <w:rFonts w:ascii="Calibri" w:hAnsi="Calibri" w:cs="Calibri" w:eastAsia="Calibri"/>
                <w:b w:val="0"/>
                <w:i w:val="0"/>
                <w:sz w:val="18"/>
                <w:szCs w:val="18"/>
              </w:rPr>
              <w:t>BCM Coordinator, Quality and Risk Management Department</w:t>
            </w:r>
          </w:p>
        </w:tc>
        <w:tc>
          <w:tcPr>
            <w:tcW w:type="dxa" w:w="4819"/>
          </w:tcPr>
          <w:p>
            <w:r/>
            <w:r>
              <w:rPr>
                <w:rFonts w:ascii="Calibri" w:hAnsi="Calibri" w:cs="Calibri" w:eastAsia="Calibri"/>
                <w:b w:val="0"/>
                <w:i w:val="0"/>
                <w:sz w:val="18"/>
                <w:szCs w:val="18"/>
              </w:rPr>
              <w:t>Logs decisions and actions</w:t>
            </w:r>
          </w:p>
        </w:tc>
      </w:tr>
    </w:tbl>
    <w:p>
      <w:pPr>
        <w:spacing w:after="40"/>
      </w:pPr>
    </w:p>
    <w:p>
      <w:pPr>
        <w:pStyle w:val="Heading2"/>
        <w:keepNext/>
        <w:spacing w:before="120" w:after="80"/>
      </w:pPr>
      <w:r>
        <w:rPr>
          <w:rFonts w:ascii="Calibri" w:hAnsi="Calibri" w:cs="Calibri" w:eastAsia="Calibri"/>
          <w:b/>
          <w:i w:val="0"/>
          <w:color w:val="1F3864"/>
          <w:sz w:val="24"/>
          <w:szCs w:val="24"/>
          <w:bCs/>
        </w:rPr>
        <w:t>4.4 Crisis Rhythm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cycle of meetings, decisions, and updates.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Initial meeting within 1 hour of activation.</w:t>
      </w:r>
    </w:p>
    <w:p>
      <w:pPr>
        <w:pStyle w:val="ListBullet"/>
        <w:spacing w:after="40"/>
      </w:pPr>
      <w:r>
        <w:rPr>
          <w:rFonts w:ascii="Calibri" w:hAnsi="Calibri" w:cs="Calibri" w:eastAsia="Calibri"/>
          <w:b w:val="0"/>
          <w:i w:val="0"/>
          <w:sz w:val="21"/>
          <w:szCs w:val="21"/>
        </w:rPr>
        <w:t>Situation updates every 2 to 4 hours: facts, impact, decisions needed, next update time.</w:t>
      </w:r>
    </w:p>
    <w:p>
      <w:pPr>
        <w:pStyle w:val="ListBullet"/>
        <w:spacing w:after="40"/>
      </w:pPr>
      <w:r>
        <w:rPr>
          <w:rFonts w:ascii="Calibri" w:hAnsi="Calibri" w:cs="Calibri" w:eastAsia="Calibri"/>
          <w:b w:val="0"/>
          <w:i w:val="0"/>
          <w:sz w:val="21"/>
          <w:szCs w:val="21"/>
        </w:rPr>
        <w:t>Decision log maintained by the BCM Coordinator, Quality and Risk Management Department Coordinator.</w:t>
      </w:r>
    </w:p>
    <w:p>
      <w:pPr>
        <w:pStyle w:val="ListBullet"/>
        <w:spacing w:after="40"/>
      </w:pPr>
      <w:r>
        <w:rPr>
          <w:rFonts w:ascii="Calibri" w:hAnsi="Calibri" w:cs="Calibri" w:eastAsia="Calibri"/>
          <w:b w:val="0"/>
          <w:i w:val="0"/>
          <w:sz w:val="21"/>
          <w:szCs w:val="21"/>
        </w:rPr>
        <w:t>Stakeholder updates issued after each cycle (RC-PRC-002).</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Separate the crisis team (strategic) from the incident response team (technical) to avoid micromanagement.</w:t>
      </w:r>
    </w:p>
    <w:p>
      <w:pPr>
        <w:pStyle w:val="ListBullet"/>
        <w:spacing w:after="40"/>
      </w:pPr>
      <w:r>
        <w:rPr>
          <w:rFonts w:ascii="Calibri" w:hAnsi="Calibri" w:cs="Calibri" w:eastAsia="Calibri"/>
          <w:b w:val="0"/>
          <w:i w:val="0"/>
          <w:sz w:val="21"/>
          <w:szCs w:val="21"/>
        </w:rPr>
        <w:t>Prepare a crisis room and phone bridge that do not depend on corporate IT.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Executives join technical calls and slow the response.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RC.CO-03: Recovery activities and progress in restoring operational capabilities are communicated to designated stakeholders</w:t>
            </w:r>
          </w:p>
          <w:p>
            <w:r>
              <w:rPr>
                <w:rFonts w:ascii="Calibri" w:hAnsi="Calibri" w:cs="Calibri" w:eastAsia="Calibri"/>
                <w:b w:val="0"/>
                <w:i w:val="0"/>
                <w:sz w:val="18"/>
                <w:szCs w:val="18"/>
              </w:rPr>
              <w:t>RC.CO-04: Public updates on incident recovery are shared using approved methods and messaging</w:t>
            </w:r>
          </w:p>
          <w:p>
            <w:r>
              <w:rPr>
                <w:rFonts w:ascii="Calibri" w:hAnsi="Calibri" w:cs="Calibri" w:eastAsia="Calibri"/>
                <w:b w:val="0"/>
                <w:i w:val="0"/>
                <w:sz w:val="18"/>
                <w:szCs w:val="18"/>
              </w:rPr>
              <w:t>RS.MA-04: Incidents are escalated or elevated as needed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CP-2, IR-8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 22361:2022; ISO 22301:2019 Clause 8.4.2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RC-POL-001: Business Continuity Management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RC-PLN-003  |  Crisis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