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Crisis Communication Procedure</w:t>
      </w:r>
    </w:p>
    <w:p>
      <w:pPr>
        <w:spacing w:after="80" w:before="0"/>
      </w:pPr>
      <w:r>
        <w:rPr>
          <w:rFonts w:ascii="Calibri" w:hAnsi="Calibri" w:cs="Calibri" w:eastAsia="Calibri"/>
          <w:b w:val="0"/>
          <w:i w:val="0"/>
          <w:color w:val="595959"/>
          <w:sz w:val="18"/>
          <w:szCs w:val="18"/>
        </w:rPr>
        <w:t>RC-PRC-002  |  Procedure  |  Incident Recovery Communication (RC.CO)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RC-PRC-002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Crisis Communication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Corporate Communications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Communication (RC.CO)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 22301:2019 Clause 8.4.3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9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Corporate Communications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 March 2026</w:t>
            </w:r>
          </w:p>
        </w:tc>
        <w:tc>
          <w:tcPr>
            <w:tcW w:type="dxa" w:w="3742"/>
          </w:tcPr>
          <w:p>
            <w:r/>
            <w:r>
              <w:rPr>
                <w:rFonts w:ascii="Calibri" w:hAnsi="Calibri" w:cs="Calibri" w:eastAsia="Calibri"/>
                <w:b w:val="0"/>
                <w:i w:val="0"/>
                <w:sz w:val="18"/>
                <w:szCs w:val="18"/>
              </w:rPr>
              <w:t>Updated after the February 2026 ransomware tabletop exercise (EX-2026-01) and the May 2026 DR test.</w:t>
            </w:r>
          </w:p>
        </w:tc>
        <w:tc>
          <w:tcPr>
            <w:tcW w:type="dxa" w:w="1587"/>
          </w:tcPr>
          <w:p>
            <w:r/>
            <w:r>
              <w:rPr>
                <w:rFonts w:ascii="Calibri" w:hAnsi="Calibri" w:cs="Calibri" w:eastAsia="Calibri"/>
                <w:b w:val="0"/>
                <w:i w:val="0"/>
                <w:sz w:val="18"/>
                <w:szCs w:val="18"/>
              </w:rPr>
              <w:t>Corporate Communications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recovery progress and incident information are communicated to staff, customers, partners, media, and the public through approved channels and messages (RC.CO-03, RC.CO-04).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Communication Matrix</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audience, owner, channel, and frequency.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2551"/>
        <w:gridCol w:w="2835"/>
        <w:gridCol w:w="1984"/>
      </w:tblGrid>
      <w:tr>
        <w:trPr>
          <w:tblHeader w:val="true"/>
        </w:trPr>
        <w:tc>
          <w:tcPr>
            <w:tcW w:type="dxa" w:w="1984"/>
            <w:shd w:val="clear" w:color="auto" w:fill="1F3864"/>
          </w:tcPr>
          <w:p>
            <w:r/>
            <w:r>
              <w:rPr>
                <w:rFonts w:ascii="Calibri" w:hAnsi="Calibri" w:cs="Calibri" w:eastAsia="Calibri"/>
                <w:b/>
                <w:i w:val="0"/>
                <w:color w:val="FFFFFF"/>
                <w:sz w:val="18"/>
                <w:szCs w:val="18"/>
                <w:bCs/>
              </w:rPr>
              <w:t>Audience</w:t>
            </w:r>
          </w:p>
        </w:tc>
        <w:tc>
          <w:tcPr>
            <w:tcW w:type="dxa" w:w="2551"/>
            <w:shd w:val="clear" w:color="auto" w:fill="1F3864"/>
          </w:tcPr>
          <w:p>
            <w:r/>
            <w:r>
              <w:rPr>
                <w:rFonts w:ascii="Calibri" w:hAnsi="Calibri" w:cs="Calibri" w:eastAsia="Calibri"/>
                <w:b/>
                <w:i w:val="0"/>
                <w:color w:val="FFFFFF"/>
                <w:sz w:val="18"/>
                <w:szCs w:val="18"/>
                <w:bCs/>
              </w:rPr>
              <w:t>Owner</w:t>
            </w:r>
          </w:p>
        </w:tc>
        <w:tc>
          <w:tcPr>
            <w:tcW w:type="dxa" w:w="2835"/>
            <w:shd w:val="clear" w:color="auto" w:fill="1F3864"/>
          </w:tcPr>
          <w:p>
            <w:r/>
            <w:r>
              <w:rPr>
                <w:rFonts w:ascii="Calibri" w:hAnsi="Calibri" w:cs="Calibri" w:eastAsia="Calibri"/>
                <w:b/>
                <w:i w:val="0"/>
                <w:color w:val="FFFFFF"/>
                <w:sz w:val="18"/>
                <w:szCs w:val="18"/>
                <w:bCs/>
              </w:rPr>
              <w:t>Channel</w:t>
            </w:r>
          </w:p>
        </w:tc>
        <w:tc>
          <w:tcPr>
            <w:tcW w:type="dxa" w:w="1984"/>
            <w:shd w:val="clear" w:color="auto" w:fill="1F3864"/>
          </w:tcPr>
          <w:p>
            <w:r/>
            <w:r>
              <w:rPr>
                <w:rFonts w:ascii="Calibri" w:hAnsi="Calibri" w:cs="Calibri" w:eastAsia="Calibri"/>
                <w:b/>
                <w:i w:val="0"/>
                <w:color w:val="FFFFFF"/>
                <w:sz w:val="18"/>
                <w:szCs w:val="18"/>
                <w:bCs/>
              </w:rPr>
              <w:t>Frequency</w:t>
            </w:r>
          </w:p>
        </w:tc>
      </w:tr>
      <w:tr>
        <w:tc>
          <w:tcPr>
            <w:tcW w:type="dxa" w:w="1984"/>
          </w:tcPr>
          <w:p>
            <w:r/>
            <w:r>
              <w:rPr>
                <w:rFonts w:ascii="Calibri" w:hAnsi="Calibri" w:cs="Calibri" w:eastAsia="Calibri"/>
                <w:b w:val="0"/>
                <w:i w:val="0"/>
                <w:sz w:val="18"/>
                <w:szCs w:val="18"/>
              </w:rPr>
              <w:t>Staff</w:t>
            </w:r>
          </w:p>
        </w:tc>
        <w:tc>
          <w:tcPr>
            <w:tcW w:type="dxa" w:w="2551"/>
          </w:tcPr>
          <w:p>
            <w:r/>
            <w:r>
              <w:rPr>
                <w:rFonts w:ascii="Calibri" w:hAnsi="Calibri" w:cs="Calibri" w:eastAsia="Calibri"/>
                <w:b w:val="0"/>
                <w:i w:val="0"/>
                <w:sz w:val="18"/>
                <w:szCs w:val="18"/>
              </w:rPr>
              <w:t>Corporate Communications with HR</w:t>
            </w:r>
          </w:p>
        </w:tc>
        <w:tc>
          <w:tcPr>
            <w:tcW w:type="dxa" w:w="2835"/>
          </w:tcPr>
          <w:p>
            <w:r/>
            <w:r>
              <w:rPr>
                <w:rFonts w:ascii="Calibri" w:hAnsi="Calibri" w:cs="Calibri" w:eastAsia="Calibri"/>
                <w:b w:val="0"/>
                <w:i w:val="0"/>
                <w:sz w:val="18"/>
                <w:szCs w:val="18"/>
              </w:rPr>
              <w:t>SMS broadcast, overhead announcement, printed bulletins at nursing stations</w:t>
            </w:r>
          </w:p>
        </w:tc>
        <w:tc>
          <w:tcPr>
            <w:tcW w:type="dxa" w:w="1984"/>
          </w:tcPr>
          <w:p>
            <w:r/>
            <w:r>
              <w:rPr>
                <w:rFonts w:ascii="Calibri" w:hAnsi="Calibri" w:cs="Calibri" w:eastAsia="Calibri"/>
                <w:b w:val="0"/>
                <w:i w:val="0"/>
                <w:sz w:val="18"/>
                <w:szCs w:val="18"/>
              </w:rPr>
              <w:t>Every 4 hours during SEV-1</w:t>
            </w:r>
          </w:p>
        </w:tc>
      </w:tr>
      <w:tr>
        <w:tc>
          <w:tcPr>
            <w:tcW w:type="dxa" w:w="1984"/>
          </w:tcPr>
          <w:p>
            <w:r/>
            <w:r>
              <w:rPr>
                <w:rFonts w:ascii="Calibri" w:hAnsi="Calibri" w:cs="Calibri" w:eastAsia="Calibri"/>
                <w:b w:val="0"/>
                <w:i w:val="0"/>
                <w:sz w:val="18"/>
                <w:szCs w:val="18"/>
              </w:rPr>
              <w:t>Patients and families</w:t>
            </w:r>
          </w:p>
        </w:tc>
        <w:tc>
          <w:tcPr>
            <w:tcW w:type="dxa" w:w="2551"/>
          </w:tcPr>
          <w:p>
            <w:r/>
            <w:r>
              <w:rPr>
                <w:rFonts w:ascii="Calibri" w:hAnsi="Calibri" w:cs="Calibri" w:eastAsia="Calibri"/>
                <w:b w:val="0"/>
                <w:i w:val="0"/>
                <w:sz w:val="18"/>
                <w:szCs w:val="18"/>
              </w:rPr>
              <w:t>Corporate Communications and Director of Patient Experience</w:t>
            </w:r>
          </w:p>
        </w:tc>
        <w:tc>
          <w:tcPr>
            <w:tcW w:type="dxa" w:w="2835"/>
          </w:tcPr>
          <w:p>
            <w:r/>
            <w:r>
              <w:rPr>
                <w:rFonts w:ascii="Calibri" w:hAnsi="Calibri" w:cs="Calibri" w:eastAsia="Calibri"/>
                <w:b w:val="0"/>
                <w:i w:val="0"/>
                <w:sz w:val="18"/>
                <w:szCs w:val="18"/>
              </w:rPr>
              <w:t>Signage, front-desk script, website, call center</w:t>
            </w:r>
          </w:p>
        </w:tc>
        <w:tc>
          <w:tcPr>
            <w:tcW w:type="dxa" w:w="1984"/>
          </w:tcPr>
          <w:p>
            <w:r/>
            <w:r>
              <w:rPr>
                <w:rFonts w:ascii="Calibri" w:hAnsi="Calibri" w:cs="Calibri" w:eastAsia="Calibri"/>
                <w:b w:val="0"/>
                <w:i w:val="0"/>
                <w:sz w:val="18"/>
                <w:szCs w:val="18"/>
              </w:rPr>
              <w:t>As needed</w:t>
            </w:r>
          </w:p>
        </w:tc>
      </w:tr>
      <w:tr>
        <w:tc>
          <w:tcPr>
            <w:tcW w:type="dxa" w:w="1984"/>
          </w:tcPr>
          <w:p>
            <w:r/>
            <w:r>
              <w:rPr>
                <w:rFonts w:ascii="Calibri" w:hAnsi="Calibri" w:cs="Calibri" w:eastAsia="Calibri"/>
                <w:b w:val="0"/>
                <w:i w:val="0"/>
                <w:sz w:val="18"/>
                <w:szCs w:val="18"/>
              </w:rPr>
              <w:t>Media</w:t>
            </w:r>
          </w:p>
        </w:tc>
        <w:tc>
          <w:tcPr>
            <w:tcW w:type="dxa" w:w="2551"/>
          </w:tcPr>
          <w:p>
            <w:r/>
            <w:r>
              <w:rPr>
                <w:rFonts w:ascii="Calibri" w:hAnsi="Calibri" w:cs="Calibri" w:eastAsia="Calibri"/>
                <w:b w:val="0"/>
                <w:i w:val="0"/>
                <w:sz w:val="18"/>
                <w:szCs w:val="18"/>
              </w:rPr>
              <w:t>CEO or designated spokesperson</w:t>
            </w:r>
          </w:p>
        </w:tc>
        <w:tc>
          <w:tcPr>
            <w:tcW w:type="dxa" w:w="2835"/>
          </w:tcPr>
          <w:p>
            <w:r/>
            <w:r>
              <w:rPr>
                <w:rFonts w:ascii="Calibri" w:hAnsi="Calibri" w:cs="Calibri" w:eastAsia="Calibri"/>
                <w:b w:val="0"/>
                <w:i w:val="0"/>
                <w:sz w:val="18"/>
                <w:szCs w:val="18"/>
              </w:rPr>
              <w:t>Approved statements only</w:t>
            </w:r>
          </w:p>
        </w:tc>
        <w:tc>
          <w:tcPr>
            <w:tcW w:type="dxa" w:w="1984"/>
          </w:tcPr>
          <w:p>
            <w:r/>
            <w:r>
              <w:rPr>
                <w:rFonts w:ascii="Calibri" w:hAnsi="Calibri" w:cs="Calibri" w:eastAsia="Calibri"/>
                <w:b w:val="0"/>
                <w:i w:val="0"/>
                <w:sz w:val="18"/>
                <w:szCs w:val="18"/>
              </w:rPr>
              <w:t>As approved</w:t>
            </w:r>
          </w:p>
        </w:tc>
      </w:tr>
      <w:tr>
        <w:tc>
          <w:tcPr>
            <w:tcW w:type="dxa" w:w="1984"/>
          </w:tcPr>
          <w:p>
            <w:r/>
            <w:r>
              <w:rPr>
                <w:rFonts w:ascii="Calibri" w:hAnsi="Calibri" w:cs="Calibri" w:eastAsia="Calibri"/>
                <w:b w:val="0"/>
                <w:i w:val="0"/>
                <w:sz w:val="18"/>
                <w:szCs w:val="18"/>
              </w:rPr>
              <w:t>Regulators (PDPC, NCSA, MOPH)</w:t>
            </w:r>
          </w:p>
        </w:tc>
        <w:tc>
          <w:tcPr>
            <w:tcW w:type="dxa" w:w="2551"/>
          </w:tcPr>
          <w:p>
            <w:r/>
            <w:r>
              <w:rPr>
                <w:rFonts w:ascii="Calibri" w:hAnsi="Calibri" w:cs="Calibri" w:eastAsia="Calibri"/>
                <w:b w:val="0"/>
                <w:i w:val="0"/>
                <w:sz w:val="18"/>
                <w:szCs w:val="18"/>
              </w:rPr>
              <w:t>Security Manager, DPO</w:t>
            </w:r>
          </w:p>
        </w:tc>
        <w:tc>
          <w:tcPr>
            <w:tcW w:type="dxa" w:w="2835"/>
          </w:tcPr>
          <w:p>
            <w:r/>
            <w:r>
              <w:rPr>
                <w:rFonts w:ascii="Calibri" w:hAnsi="Calibri" w:cs="Calibri" w:eastAsia="Calibri"/>
                <w:b w:val="0"/>
                <w:i w:val="0"/>
                <w:sz w:val="18"/>
                <w:szCs w:val="18"/>
              </w:rPr>
              <w:t>Formal channels per RS-PRC-003</w:t>
            </w:r>
          </w:p>
        </w:tc>
        <w:tc>
          <w:tcPr>
            <w:tcW w:type="dxa" w:w="1984"/>
          </w:tcPr>
          <w:p>
            <w:r/>
            <w:r>
              <w:rPr>
                <w:rFonts w:ascii="Calibri" w:hAnsi="Calibri" w:cs="Calibri" w:eastAsia="Calibri"/>
                <w:b w:val="0"/>
                <w:i w:val="0"/>
                <w:sz w:val="18"/>
                <w:szCs w:val="18"/>
              </w:rPr>
              <w:t>Per legal requirements</w:t>
            </w:r>
          </w:p>
        </w:tc>
      </w:tr>
      <w:tr>
        <w:tc>
          <w:tcPr>
            <w:tcW w:type="dxa" w:w="1984"/>
          </w:tcPr>
          <w:p>
            <w:r/>
            <w:r>
              <w:rPr>
                <w:rFonts w:ascii="Calibri" w:hAnsi="Calibri" w:cs="Calibri" w:eastAsia="Calibri"/>
                <w:b w:val="0"/>
                <w:i w:val="0"/>
                <w:sz w:val="18"/>
                <w:szCs w:val="18"/>
              </w:rPr>
              <w:t>Referral hospitals and insurers</w:t>
            </w:r>
          </w:p>
        </w:tc>
        <w:tc>
          <w:tcPr>
            <w:tcW w:type="dxa" w:w="2551"/>
          </w:tcPr>
          <w:p>
            <w:r/>
            <w:r>
              <w:rPr>
                <w:rFonts w:ascii="Calibri" w:hAnsi="Calibri" w:cs="Calibri" w:eastAsia="Calibri"/>
                <w:b w:val="0"/>
                <w:i w:val="0"/>
                <w:sz w:val="18"/>
                <w:szCs w:val="18"/>
              </w:rPr>
              <w:t>Medical Director, CFO</w:t>
            </w:r>
          </w:p>
        </w:tc>
        <w:tc>
          <w:tcPr>
            <w:tcW w:type="dxa" w:w="2835"/>
          </w:tcPr>
          <w:p>
            <w:r/>
            <w:r>
              <w:rPr>
                <w:rFonts w:ascii="Calibri" w:hAnsi="Calibri" w:cs="Calibri" w:eastAsia="Calibri"/>
                <w:b w:val="0"/>
                <w:i w:val="0"/>
                <w:sz w:val="18"/>
                <w:szCs w:val="18"/>
              </w:rPr>
              <w:t>Direct phone and letter</w:t>
            </w:r>
          </w:p>
        </w:tc>
        <w:tc>
          <w:tcPr>
            <w:tcW w:type="dxa" w:w="1984"/>
          </w:tcPr>
          <w:p>
            <w:r/>
            <w:r>
              <w:rPr>
                <w:rFonts w:ascii="Calibri" w:hAnsi="Calibri" w:cs="Calibri" w:eastAsia="Calibri"/>
                <w:b w:val="0"/>
                <w:i w:val="0"/>
                <w:sz w:val="18"/>
                <w:szCs w:val="18"/>
              </w:rPr>
              <w:t>As needed</w:t>
            </w:r>
          </w:p>
        </w:tc>
      </w:tr>
    </w:tbl>
    <w:p>
      <w:pPr>
        <w:spacing w:after="40"/>
      </w:pPr>
    </w:p>
    <w:p>
      <w:pPr>
        <w:pStyle w:val="Heading2"/>
        <w:keepNext/>
        <w:spacing w:before="120" w:after="80"/>
      </w:pPr>
      <w:r>
        <w:rPr>
          <w:rFonts w:ascii="Calibri" w:hAnsi="Calibri" w:cs="Calibri" w:eastAsia="Calibri"/>
          <w:b/>
          <w:i w:val="0"/>
          <w:color w:val="1F3864"/>
          <w:sz w:val="24"/>
          <w:szCs w:val="24"/>
          <w:bCs/>
        </w:rPr>
        <w:t>4.4 Message Principles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rules for content of messages.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State facts only; do not speculate on cause or attacker.</w:t>
      </w:r>
    </w:p>
    <w:p>
      <w:pPr>
        <w:pStyle w:val="ListBullet"/>
        <w:spacing w:after="40"/>
      </w:pPr>
      <w:r>
        <w:rPr>
          <w:rFonts w:ascii="Calibri" w:hAnsi="Calibri" w:cs="Calibri" w:eastAsia="Calibri"/>
          <w:b w:val="0"/>
          <w:i w:val="0"/>
          <w:sz w:val="21"/>
          <w:szCs w:val="21"/>
        </w:rPr>
        <w:t>Say what people should do and when the next update will come.</w:t>
      </w:r>
    </w:p>
    <w:p>
      <w:pPr>
        <w:pStyle w:val="ListBullet"/>
        <w:spacing w:after="40"/>
      </w:pPr>
      <w:r>
        <w:rPr>
          <w:rFonts w:ascii="Calibri" w:hAnsi="Calibri" w:cs="Calibri" w:eastAsia="Calibri"/>
          <w:b w:val="0"/>
          <w:i w:val="0"/>
          <w:sz w:val="21"/>
          <w:szCs w:val="21"/>
        </w:rPr>
        <w:t>Use pre-approved templates (RC-TPL-001).</w:t>
      </w:r>
    </w:p>
    <w:p>
      <w:pPr>
        <w:pStyle w:val="ListBullet"/>
        <w:spacing w:after="40"/>
      </w:pPr>
      <w:r>
        <w:rPr>
          <w:rFonts w:ascii="Calibri" w:hAnsi="Calibri" w:cs="Calibri" w:eastAsia="Calibri"/>
          <w:b w:val="0"/>
          <w:i w:val="0"/>
          <w:sz w:val="21"/>
          <w:szCs w:val="21"/>
        </w:rPr>
        <w:t>Staff must not speak to media or post on social media about the incident.</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RC-TPL-001: Public Statement and Stakeholder Update Templates</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Prepare holding statements in advance so the first message goes out within the first hour.</w:t>
      </w:r>
    </w:p>
    <w:p>
      <w:pPr>
        <w:pStyle w:val="ListBullet"/>
        <w:spacing w:after="40"/>
      </w:pPr>
      <w:r>
        <w:rPr>
          <w:rFonts w:ascii="Calibri" w:hAnsi="Calibri" w:cs="Calibri" w:eastAsia="Calibri"/>
          <w:b w:val="0"/>
          <w:i w:val="0"/>
          <w:sz w:val="21"/>
          <w:szCs w:val="21"/>
        </w:rPr>
        <w:t>Use channels that work when corporate email is down.</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Silence for days, which lets rumors fill the gap.</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RC.CO-03: Recovery activities and progress in restoring operational capabilities are communicated to designated stakeholders</w:t>
            </w:r>
          </w:p>
          <w:p>
            <w:r>
              <w:rPr>
                <w:rFonts w:ascii="Calibri" w:hAnsi="Calibri" w:cs="Calibri" w:eastAsia="Calibri"/>
                <w:b w:val="0"/>
                <w:i w:val="0"/>
                <w:sz w:val="18"/>
                <w:szCs w:val="18"/>
              </w:rPr>
              <w:t>RC.CO-04: Public updates on incident recovery are shared using approved methods and messaging</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A.5.29</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CP-2, IR-7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 22301:2019 Clause 8.4.3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RC-PLN-001: Business Continuity Plan (BCP)</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RC-TPL-001: Public Statement and Stakeholder Update Templates</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RC-PRC-002  |  Crisis Communication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