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Public Statement and Stakeholder Update Templates</w:t>
      </w:r>
    </w:p>
    <w:p>
      <w:pPr>
        <w:spacing w:after="80" w:before="0"/>
      </w:pPr>
      <w:r>
        <w:rPr>
          <w:rFonts w:ascii="Calibri" w:hAnsi="Calibri" w:cs="Calibri" w:eastAsia="Calibri"/>
          <w:b w:val="0"/>
          <w:i w:val="0"/>
          <w:color w:val="595959"/>
          <w:sz w:val="18"/>
          <w:szCs w:val="18"/>
        </w:rPr>
        <w:t>RC-TPL-001  |  Template  |  Incident Recovery Communication (RC.CO)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RC-TPL-001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Public Statement and Stakeholder Update Templates</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Corporate Communications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Communication (RC.CO)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 22301:2019 Clause 8.4.3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Resilience,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Corporate Communications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June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Corporate Communications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These templates provide pre-approved messages for staff, customers, and the public at each stage of a cyber incident and recovery (RC.CO-04).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(RC-PRC-002) and covers the activities that document defines.</w:t>
      </w:r>
    </w:p>
    <w:p>
      <w:pPr>
        <w:pStyle w:val="Heading2"/>
        <w:keepNext/>
        <w:spacing w:before="120" w:after="80"/>
      </w:pPr>
      <w:r>
        <w:rPr>
          <w:rFonts w:ascii="Calibri" w:hAnsi="Calibri" w:cs="Calibri" w:eastAsia="Calibri"/>
          <w:b/>
          <w:i w:val="0"/>
          <w:color w:val="1F3864"/>
          <w:sz w:val="24"/>
          <w:szCs w:val="24"/>
          <w:bCs/>
        </w:rPr>
        <w:t>4.3 Holding Statement (First Hours)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a short statement for the first public response.</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Chaophraya Medical Center is responding to an IT incident affecting some hospital systems. Patient care continues safely using our established downtime procedures, and emergency services remain open. We have activated our response plans and are working with specialists to restore systems. We will provide an update by [time].</w:t>
      </w:r>
    </w:p>
    <w:p>
      <w:pPr>
        <w:pStyle w:val="Heading2"/>
        <w:keepNext/>
        <w:spacing w:before="120" w:after="80"/>
      </w:pPr>
      <w:r>
        <w:rPr>
          <w:rFonts w:ascii="Calibri" w:hAnsi="Calibri" w:cs="Calibri" w:eastAsia="Calibri"/>
          <w:b/>
          <w:i w:val="0"/>
          <w:color w:val="1F3864"/>
          <w:sz w:val="24"/>
          <w:szCs w:val="24"/>
          <w:bCs/>
        </w:rPr>
        <w:t>4.4 Staff Update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a template for internal updates.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Update [number], [time]: HIS, PACS, and LIS are unavailable. What to do: use downtime kits; phone critical results; do not reconnect any computer that IT has disconnected. Do not discuss the incident with patients' relatives or on social media; refer questions to the nursing supervisor. Next update: [time]. Questions: nursing supervisor on duty or the command room at ext. 1000.</w:t>
      </w:r>
    </w:p>
    <w:p>
      <w:pPr>
        <w:pStyle w:val="Heading2"/>
        <w:keepNext/>
        <w:spacing w:before="120" w:after="80"/>
      </w:pPr>
      <w:r>
        <w:rPr>
          <w:rFonts w:ascii="Calibri" w:hAnsi="Calibri" w:cs="Calibri" w:eastAsia="Calibri"/>
          <w:b/>
          <w:i w:val="0"/>
          <w:color w:val="1F3864"/>
          <w:sz w:val="24"/>
          <w:szCs w:val="24"/>
          <w:bCs/>
        </w:rPr>
        <w:t>4.5 Recovery Update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Provide a template for public recovery updates.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Chaophraya Medical Center (CMC) has restored [services]. We are completing checks on remaining systems and expect [timeline]. [If personal data affected: We are contacting affected individuals directly.] We thank our customers for their patience.</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Have Legal and Communications approve templates annually.</w:t>
      </w:r>
    </w:p>
    <w:p>
      <w:pPr>
        <w:pStyle w:val="ListBullet"/>
        <w:spacing w:after="40"/>
      </w:pPr>
      <w:r>
        <w:rPr>
          <w:rFonts w:ascii="Calibri" w:hAnsi="Calibri" w:cs="Calibri" w:eastAsia="Calibri"/>
          <w:b w:val="0"/>
          <w:i w:val="0"/>
          <w:sz w:val="21"/>
          <w:szCs w:val="21"/>
        </w:rPr>
        <w:t>Prepare Thai and English versions.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Using 'no evidence of data theft' before the investigation can support it.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RC.CO-04: Public updates on incident recovery are shared using approved methods and messaging</w:t>
            </w:r>
          </w:p>
          <w:p>
            <w:r>
              <w:rPr>
                <w:rFonts w:ascii="Calibri" w:hAnsi="Calibri" w:cs="Calibri" w:eastAsia="Calibri"/>
                <w:b w:val="0"/>
                <w:i w:val="0"/>
                <w:sz w:val="18"/>
                <w:szCs w:val="18"/>
              </w:rPr>
              <w:t>RC.CO-03: Recovery activities and progress in restoring operational capabilities are communicated to designated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 22301:2019 Clause 8.4.3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RC-PRC-002: Crisis Communication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RC-TPL-001  |  Public Statement and Stakeholder Update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