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Recovery Completion and Sign-off Form</w:t>
      </w:r>
    </w:p>
    <w:p>
      <w:pPr>
        <w:spacing w:after="80" w:before="0"/>
      </w:pPr>
      <w:r>
        <w:rPr>
          <w:rFonts w:ascii="Calibri" w:hAnsi="Calibri" w:cs="Calibri" w:eastAsia="Calibri"/>
          <w:b w:val="0"/>
          <w:i w:val="0"/>
          <w:color w:val="595959"/>
          <w:sz w:val="18"/>
          <w:szCs w:val="18"/>
        </w:rPr>
        <w:t>RC-FRM-001  |  Form  |  Incident Recovery Plan Execution (RC.RP)</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RC-FRM-001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Recovery Completion and Sign-off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7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7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Recover (RC)</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Recovery Plan Execution (RC.RP)</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NIST SP 800-61 Rev. 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Resilience,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22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7 April 2026</w:t>
            </w:r>
          </w:p>
        </w:tc>
        <w:tc>
          <w:tcPr>
            <w:tcW w:type="dxa" w:w="3742"/>
          </w:tcPr>
          <w:p>
            <w:r/>
            <w:r>
              <w:rPr>
                <w:rFonts w:ascii="Calibri" w:hAnsi="Calibri" w:cs="Calibri" w:eastAsia="Calibri"/>
                <w:b w:val="0"/>
                <w:i w:val="0"/>
                <w:sz w:val="18"/>
                <w:szCs w:val="18"/>
              </w:rPr>
              <w:t>Updated after the February 2026 ransomware tabletop exercise (EX-2026-01) and the May 2026 DR test.</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confirms that a system has been restored, its integrity verified, and that it is approved for return to normal operation, and records the end of recovery (RC.RP-04 to RC.RP-06).</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(RC-PLN-002)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Incident or test reference</w:t>
            </w:r>
          </w:p>
        </w:tc>
        <w:tc>
          <w:tcPr>
            <w:tcW w:type="dxa" w:w="3628"/>
          </w:tcPr>
          <w:p>
            <w:r/>
            <w:r>
              <w:rPr>
                <w:rFonts w:ascii="Calibri" w:hAnsi="Calibri" w:cs="Calibri" w:eastAsia="Calibri"/>
                <w:b w:val="0"/>
                <w:i w:val="0"/>
                <w:sz w:val="18"/>
                <w:szCs w:val="18"/>
              </w:rPr>
              <w:t>INC or DR ID.</w:t>
            </w:r>
          </w:p>
        </w:tc>
        <w:tc>
          <w:tcPr>
            <w:tcW w:type="dxa" w:w="2835"/>
          </w:tcPr>
          <w:p>
            <w:r/>
            <w:r>
              <w:rPr>
                <w:rFonts w:ascii="Calibri" w:hAnsi="Calibri" w:cs="Calibri" w:eastAsia="Calibri"/>
                <w:b w:val="0"/>
                <w:i w:val="0"/>
                <w:sz w:val="18"/>
                <w:szCs w:val="18"/>
              </w:rPr>
              <w:t>DR-2026-01</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System restored</w:t>
            </w:r>
          </w:p>
        </w:tc>
        <w:tc>
          <w:tcPr>
            <w:tcW w:type="dxa" w:w="3628"/>
          </w:tcPr>
          <w:p>
            <w:r/>
            <w:r>
              <w:rPr>
                <w:rFonts w:ascii="Calibri" w:hAnsi="Calibri" w:cs="Calibri" w:eastAsia="Calibri"/>
                <w:b w:val="0"/>
                <w:i w:val="0"/>
                <w:sz w:val="18"/>
                <w:szCs w:val="18"/>
              </w:rPr>
              <w:t>System and environment.</w:t>
            </w:r>
          </w:p>
        </w:tc>
        <w:tc>
          <w:tcPr>
            <w:tcW w:type="dxa" w:w="2835"/>
          </w:tcPr>
          <w:p>
            <w:r/>
            <w:r>
              <w:rPr>
                <w:rFonts w:ascii="Calibri" w:hAnsi="Calibri" w:cs="Calibri" w:eastAsia="Calibri"/>
                <w:b w:val="0"/>
                <w:i w:val="0"/>
                <w:sz w:val="18"/>
                <w:szCs w:val="18"/>
              </w:rPr>
              <w:t>HIS production at Nonthaburi DR site</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Restore point used</w:t>
            </w:r>
          </w:p>
        </w:tc>
        <w:tc>
          <w:tcPr>
            <w:tcW w:type="dxa" w:w="3628"/>
          </w:tcPr>
          <w:p>
            <w:r/>
            <w:r>
              <w:rPr>
                <w:rFonts w:ascii="Calibri" w:hAnsi="Calibri" w:cs="Calibri" w:eastAsia="Calibri"/>
                <w:b w:val="0"/>
                <w:i w:val="0"/>
                <w:sz w:val="18"/>
                <w:szCs w:val="18"/>
              </w:rPr>
              <w:t>Date, time, copy type.</w:t>
            </w:r>
          </w:p>
        </w:tc>
        <w:tc>
          <w:tcPr>
            <w:tcW w:type="dxa" w:w="2835"/>
          </w:tcPr>
          <w:p>
            <w:r/>
            <w:r>
              <w:rPr>
                <w:rFonts w:ascii="Calibri" w:hAnsi="Calibri" w:cs="Calibri" w:eastAsia="Calibri"/>
                <w:b w:val="0"/>
                <w:i w:val="0"/>
                <w:sz w:val="18"/>
                <w:szCs w:val="18"/>
              </w:rPr>
              <w:t>16 May 2026 23:56, replicated copy</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Integrity checks completed</w:t>
            </w:r>
          </w:p>
        </w:tc>
        <w:tc>
          <w:tcPr>
            <w:tcW w:type="dxa" w:w="3628"/>
          </w:tcPr>
          <w:p>
            <w:r/>
            <w:r>
              <w:rPr>
                <w:rFonts w:ascii="Calibri" w:hAnsi="Calibri" w:cs="Calibri" w:eastAsia="Calibri"/>
                <w:b w:val="0"/>
                <w:i w:val="0"/>
                <w:sz w:val="18"/>
                <w:szCs w:val="18"/>
              </w:rPr>
              <w:t>Malware scan, baseline, monitoring enabled.</w:t>
            </w:r>
          </w:p>
        </w:tc>
        <w:tc>
          <w:tcPr>
            <w:tcW w:type="dxa" w:w="2835"/>
          </w:tcPr>
          <w:p>
            <w:r/>
            <w:r>
              <w:rPr>
                <w:rFonts w:ascii="Calibri" w:hAnsi="Calibri" w:cs="Calibri" w:eastAsia="Calibri"/>
                <w:b w:val="0"/>
                <w:i w:val="0"/>
                <w:sz w:val="18"/>
                <w:szCs w:val="18"/>
              </w:rPr>
              <w:t>EDR scan clean; configuration compliance 100%; logs flowing to MSSP</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Functional validation by owner</w:t>
            </w:r>
          </w:p>
        </w:tc>
        <w:tc>
          <w:tcPr>
            <w:tcW w:type="dxa" w:w="3628"/>
          </w:tcPr>
          <w:p>
            <w:r/>
            <w:r>
              <w:rPr>
                <w:rFonts w:ascii="Calibri" w:hAnsi="Calibri" w:cs="Calibri" w:eastAsia="Calibri"/>
                <w:b w:val="0"/>
                <w:i w:val="0"/>
                <w:sz w:val="18"/>
                <w:szCs w:val="18"/>
              </w:rPr>
              <w:t>Tests performed and result.</w:t>
            </w:r>
          </w:p>
        </w:tc>
        <w:tc>
          <w:tcPr>
            <w:tcW w:type="dxa" w:w="2835"/>
          </w:tcPr>
          <w:p>
            <w:r/>
            <w:r>
              <w:rPr>
                <w:rFonts w:ascii="Calibri" w:hAnsi="Calibri" w:cs="Calibri" w:eastAsia="Calibri"/>
                <w:b w:val="0"/>
                <w:i w:val="0"/>
                <w:sz w:val="18"/>
                <w:szCs w:val="18"/>
              </w:rPr>
              <w:t>Ward 5A and 6B super-users completed admission, order, and medication checks; passed</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Data loss (actual vs RPO)</w:t>
            </w:r>
          </w:p>
        </w:tc>
        <w:tc>
          <w:tcPr>
            <w:tcW w:type="dxa" w:w="3628"/>
          </w:tcPr>
          <w:p>
            <w:r/>
            <w:r>
              <w:rPr>
                <w:rFonts w:ascii="Calibri" w:hAnsi="Calibri" w:cs="Calibri" w:eastAsia="Calibri"/>
                <w:b w:val="0"/>
                <w:i w:val="0"/>
                <w:sz w:val="18"/>
                <w:szCs w:val="18"/>
              </w:rPr>
              <w:t>Measured gap.</w:t>
            </w:r>
          </w:p>
        </w:tc>
        <w:tc>
          <w:tcPr>
            <w:tcW w:type="dxa" w:w="2835"/>
          </w:tcPr>
          <w:p>
            <w:r/>
            <w:r>
              <w:rPr>
                <w:rFonts w:ascii="Calibri" w:hAnsi="Calibri" w:cs="Calibri" w:eastAsia="Calibri"/>
                <w:b w:val="0"/>
                <w:i w:val="0"/>
                <w:sz w:val="18"/>
                <w:szCs w:val="18"/>
              </w:rPr>
              <w:t>4 minutes vs RPO 15 minutes</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Residual issues</w:t>
            </w:r>
          </w:p>
        </w:tc>
        <w:tc>
          <w:tcPr>
            <w:tcW w:type="dxa" w:w="3628"/>
          </w:tcPr>
          <w:p>
            <w:r/>
            <w:r>
              <w:rPr>
                <w:rFonts w:ascii="Calibri" w:hAnsi="Calibri" w:cs="Calibri" w:eastAsia="Calibri"/>
                <w:b w:val="0"/>
                <w:i w:val="0"/>
                <w:sz w:val="18"/>
                <w:szCs w:val="18"/>
              </w:rPr>
              <w:t>Known issues and owners.</w:t>
            </w:r>
          </w:p>
        </w:tc>
        <w:tc>
          <w:tcPr>
            <w:tcW w:type="dxa" w:w="2835"/>
          </w:tcPr>
          <w:p>
            <w:r/>
            <w:r>
              <w:rPr>
                <w:rFonts w:ascii="Calibri" w:hAnsi="Calibri" w:cs="Calibri" w:eastAsia="Calibri"/>
                <w:b w:val="0"/>
                <w:i w:val="0"/>
                <w:sz w:val="18"/>
                <w:szCs w:val="18"/>
              </w:rPr>
              <w:t>DNS alias change manual (action raised)</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End of recovery declared</w:t>
            </w:r>
          </w:p>
        </w:tc>
        <w:tc>
          <w:tcPr>
            <w:tcW w:type="dxa" w:w="3628"/>
          </w:tcPr>
          <w:p>
            <w:r/>
            <w:r>
              <w:rPr>
                <w:rFonts w:ascii="Calibri" w:hAnsi="Calibri" w:cs="Calibri" w:eastAsia="Calibri"/>
                <w:b w:val="0"/>
                <w:i w:val="0"/>
                <w:sz w:val="18"/>
                <w:szCs w:val="18"/>
              </w:rPr>
              <w:t>Date, time, by whom.</w:t>
            </w:r>
          </w:p>
        </w:tc>
        <w:tc>
          <w:tcPr>
            <w:tcW w:type="dxa" w:w="2835"/>
          </w:tcPr>
          <w:p>
            <w:r/>
            <w:r>
              <w:rPr>
                <w:rFonts w:ascii="Calibri" w:hAnsi="Calibri" w:cs="Calibri" w:eastAsia="Calibri"/>
                <w:b w:val="0"/>
                <w:i w:val="0"/>
                <w:sz w:val="18"/>
                <w:szCs w:val="18"/>
              </w:rPr>
              <w:t>17 May 2026 05:40 by IT Infrastructure Manager; failback completed 18 May</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System Owner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IT Infrastructure Manager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Require security sign-off before returning systems after a cyber incident.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Users are reconnected before integrity checks, allowing re-infection.</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RC.RP-04: Critical mission functions and cybersecurity risk management are considered to establish post-incident operational norms</w:t>
            </w:r>
          </w:p>
          <w:p>
            <w:r>
              <w:rPr>
                <w:rFonts w:ascii="Calibri" w:hAnsi="Calibri" w:cs="Calibri" w:eastAsia="Calibri"/>
                <w:b w:val="0"/>
                <w:i w:val="0"/>
                <w:sz w:val="18"/>
                <w:szCs w:val="18"/>
              </w:rPr>
              <w:t>RC.RP-05: The integrity of restored assets is verified, systems and services are restored, and normal operating status is confirmed</w:t>
            </w:r>
          </w:p>
          <w:p>
            <w:r>
              <w:rPr>
                <w:rFonts w:ascii="Calibri" w:hAnsi="Calibri" w:cs="Calibri" w:eastAsia="Calibri"/>
                <w:b w:val="0"/>
                <w:i w:val="0"/>
                <w:sz w:val="18"/>
                <w:szCs w:val="18"/>
              </w:rPr>
              <w:t>RC.RP-06: The end of incident recovery is declared based on criteria, and incident-related documentation is completed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CP-10, IR-4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NIST SP 800-61 Rev. 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RC-PLN-002: IT Disaster Recovery Plan (DRP)</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RC-FRM-001  |  Recovery Completion and Sign-off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