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Business Continuity Plan (BCP)</w:t>
      </w:r>
    </w:p>
    <w:p>
      <w:pPr>
        <w:spacing w:after="80" w:before="0"/>
      </w:pPr>
      <w:r>
        <w:rPr>
          <w:rFonts w:ascii="Calibri" w:hAnsi="Calibri" w:cs="Calibri" w:eastAsia="Calibri"/>
          <w:b w:val="0"/>
          <w:i w:val="0"/>
          <w:color w:val="595959"/>
          <w:sz w:val="18"/>
          <w:szCs w:val="18"/>
        </w:rPr>
        <w:t>RC-PLN-001  |  Plan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RC-PLN-001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Business Continuity Plan (BCP)</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BCM Coordinator, Quality and Risk Management Department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17 June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17 June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Plan</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CRC Notification on CII duties 2024 (prepare a BCP under prescribed criteria) [VERIFY]; ISO 22301:2019 Clause 8.4</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21 August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17 June 2026</w:t>
            </w:r>
          </w:p>
        </w:tc>
        <w:tc>
          <w:tcPr>
            <w:tcW w:type="dxa" w:w="3742"/>
          </w:tcPr>
          <w:p>
            <w:r/>
            <w:r>
              <w:rPr>
                <w:rFonts w:ascii="Calibri" w:hAnsi="Calibri" w:cs="Calibri" w:eastAsia="Calibri"/>
                <w:b w:val="0"/>
                <w:i w:val="0"/>
                <w:sz w:val="18"/>
                <w:szCs w:val="18"/>
              </w:rPr>
              <w:t>Updated in March 2026 after EX-2026-01 to add downtime kits to ward checklists and 4-hourly MAR printing.</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describes how Chaophraya Medical Center (CMC) continues critical services during a disruption, including activation, roles, workarounds, communication, and return to normal operations (RC.RP-01, RC.RP-02, RC.RP-04, RC.RP-06).</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plan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Activation Criteria</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when and by whom the plan is activated.</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A critical service is or will be disrupted beyond its RTO.</w:t>
      </w:r>
    </w:p>
    <w:p>
      <w:pPr>
        <w:pStyle w:val="ListBullet"/>
        <w:spacing w:after="40"/>
      </w:pPr>
      <w:r>
        <w:rPr>
          <w:rFonts w:ascii="Calibri" w:hAnsi="Calibri" w:cs="Calibri" w:eastAsia="Calibri"/>
          <w:b w:val="0"/>
          <w:i w:val="0"/>
          <w:sz w:val="21"/>
          <w:szCs w:val="21"/>
        </w:rPr>
        <w:t>A SEV-1 cyber incident affects critical systems.</w:t>
      </w:r>
    </w:p>
    <w:p>
      <w:pPr>
        <w:pStyle w:val="ListBullet"/>
        <w:spacing w:after="40"/>
      </w:pPr>
      <w:r>
        <w:rPr>
          <w:rFonts w:ascii="Calibri" w:hAnsi="Calibri" w:cs="Calibri" w:eastAsia="Calibri"/>
          <w:b w:val="0"/>
          <w:i w:val="0"/>
          <w:sz w:val="21"/>
          <w:szCs w:val="21"/>
        </w:rPr>
        <w:t>Loss of a site, utility, or key supplier.</w:t>
      </w:r>
    </w:p>
    <w:p>
      <w:pPr>
        <w:pStyle w:val="ListBullet"/>
        <w:spacing w:after="40"/>
      </w:pPr>
      <w:r>
        <w:rPr>
          <w:rFonts w:ascii="Calibri" w:hAnsi="Calibri" w:cs="Calibri" w:eastAsia="Calibri"/>
          <w:b w:val="0"/>
          <w:i w:val="0"/>
          <w:sz w:val="21"/>
          <w:szCs w:val="21"/>
        </w:rPr>
        <w:t>Activation authority: Chief Executive Officer (CEO) or delegate on advice of the BCM Coordinator, Quality and Risk Management Department Coordinator and Incident Commander.</w:t>
      </w:r>
    </w:p>
    <w:p>
      <w:pPr>
        <w:pStyle w:val="Heading2"/>
        <w:keepNext/>
        <w:spacing w:before="120" w:after="80"/>
      </w:pPr>
      <w:r>
        <w:rPr>
          <w:rFonts w:ascii="Calibri" w:hAnsi="Calibri" w:cs="Calibri" w:eastAsia="Calibri"/>
          <w:b/>
          <w:i w:val="0"/>
          <w:color w:val="1F3864"/>
          <w:sz w:val="24"/>
          <w:szCs w:val="24"/>
          <w:bCs/>
        </w:rPr>
        <w:t>4.4 Continuity Strategies by Service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workarounds and resources for each critical service.</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Critical service</w:t>
            </w:r>
          </w:p>
        </w:tc>
        <w:tc>
          <w:tcPr>
            <w:tcW w:type="dxa" w:w="1871"/>
            <w:shd w:val="clear" w:color="auto" w:fill="1F3864"/>
          </w:tcPr>
          <w:p>
            <w:r/>
            <w:r>
              <w:rPr>
                <w:rFonts w:ascii="Calibri" w:hAnsi="Calibri" w:cs="Calibri" w:eastAsia="Calibri"/>
                <w:b/>
                <w:i w:val="0"/>
                <w:color w:val="FFFFFF"/>
                <w:sz w:val="18"/>
                <w:szCs w:val="18"/>
                <w:bCs/>
              </w:rPr>
              <w:t>RTO</w:t>
            </w:r>
          </w:p>
        </w:tc>
        <w:tc>
          <w:tcPr>
            <w:tcW w:type="dxa" w:w="1871"/>
            <w:shd w:val="clear" w:color="auto" w:fill="1F3864"/>
          </w:tcPr>
          <w:p>
            <w:r/>
            <w:r>
              <w:rPr>
                <w:rFonts w:ascii="Calibri" w:hAnsi="Calibri" w:cs="Calibri" w:eastAsia="Calibri"/>
                <w:b/>
                <w:i w:val="0"/>
                <w:color w:val="FFFFFF"/>
                <w:sz w:val="18"/>
                <w:szCs w:val="18"/>
                <w:bCs/>
              </w:rPr>
              <w:t>Workaround during IT outage</w:t>
            </w:r>
          </w:p>
        </w:tc>
        <w:tc>
          <w:tcPr>
            <w:tcW w:type="dxa" w:w="1871"/>
            <w:shd w:val="clear" w:color="auto" w:fill="1F3864"/>
          </w:tcPr>
          <w:p>
            <w:r/>
            <w:r>
              <w:rPr>
                <w:rFonts w:ascii="Calibri" w:hAnsi="Calibri" w:cs="Calibri" w:eastAsia="Calibri"/>
                <w:b/>
                <w:i w:val="0"/>
                <w:color w:val="FFFFFF"/>
                <w:sz w:val="18"/>
                <w:szCs w:val="18"/>
                <w:bCs/>
              </w:rPr>
              <w:t>Resources needed</w:t>
            </w:r>
          </w:p>
        </w:tc>
        <w:tc>
          <w:tcPr>
            <w:tcW w:type="dxa" w:w="1871"/>
            <w:shd w:val="clear" w:color="auto" w:fill="1F3864"/>
          </w:tcPr>
          <w:p>
            <w:r/>
            <w:r>
              <w:rPr>
                <w:rFonts w:ascii="Calibri" w:hAnsi="Calibri" w:cs="Calibri" w:eastAsia="Calibri"/>
                <w:b/>
                <w:i w:val="0"/>
                <w:color w:val="FFFFFF"/>
                <w:sz w:val="18"/>
                <w:szCs w:val="18"/>
                <w:bCs/>
              </w:rPr>
              <w:t>Owner</w:t>
            </w:r>
          </w:p>
        </w:tc>
      </w:tr>
      <w:tr>
        <w:tc>
          <w:tcPr>
            <w:tcW w:type="dxa" w:w="1871"/>
          </w:tcPr>
          <w:p>
            <w:r/>
            <w:r>
              <w:rPr>
                <w:rFonts w:ascii="Calibri" w:hAnsi="Calibri" w:cs="Calibri" w:eastAsia="Calibri"/>
                <w:b w:val="0"/>
                <w:i w:val="0"/>
                <w:sz w:val="18"/>
                <w:szCs w:val="18"/>
              </w:rPr>
              <w:t>Emergency care</w:t>
            </w:r>
          </w:p>
        </w:tc>
        <w:tc>
          <w:tcPr>
            <w:tcW w:type="dxa" w:w="1871"/>
          </w:tcPr>
          <w:p>
            <w:r/>
            <w:r>
              <w:rPr>
                <w:rFonts w:ascii="Calibri" w:hAnsi="Calibri" w:cs="Calibri" w:eastAsia="Calibri"/>
                <w:b w:val="0"/>
                <w:i w:val="0"/>
                <w:sz w:val="18"/>
                <w:szCs w:val="18"/>
              </w:rPr>
              <w:t>4 hours</w:t>
            </w:r>
          </w:p>
        </w:tc>
        <w:tc>
          <w:tcPr>
            <w:tcW w:type="dxa" w:w="1871"/>
          </w:tcPr>
          <w:p>
            <w:r/>
            <w:r>
              <w:rPr>
                <w:rFonts w:ascii="Calibri" w:hAnsi="Calibri" w:cs="Calibri" w:eastAsia="Calibri"/>
                <w:b w:val="0"/>
                <w:i w:val="0"/>
                <w:sz w:val="18"/>
                <w:szCs w:val="18"/>
              </w:rPr>
              <w:t>Paper triage and order forms; read-only HIS replica for history; ambulance diversion if needed</w:t>
            </w:r>
          </w:p>
        </w:tc>
        <w:tc>
          <w:tcPr>
            <w:tcW w:type="dxa" w:w="1871"/>
          </w:tcPr>
          <w:p>
            <w:r/>
            <w:r>
              <w:rPr>
                <w:rFonts w:ascii="Calibri" w:hAnsi="Calibri" w:cs="Calibri" w:eastAsia="Calibri"/>
                <w:b w:val="0"/>
                <w:i w:val="0"/>
                <w:sz w:val="18"/>
                <w:szCs w:val="18"/>
              </w:rPr>
              <w:t>Downtime kits, printed patient lists every 4 hours</w:t>
            </w:r>
          </w:p>
        </w:tc>
        <w:tc>
          <w:tcPr>
            <w:tcW w:type="dxa" w:w="1871"/>
          </w:tcPr>
          <w:p>
            <w:r/>
            <w:r>
              <w:rPr>
                <w:rFonts w:ascii="Calibri" w:hAnsi="Calibri" w:cs="Calibri" w:eastAsia="Calibri"/>
                <w:b w:val="0"/>
                <w:i w:val="0"/>
                <w:sz w:val="18"/>
                <w:szCs w:val="18"/>
              </w:rPr>
              <w:t>Head of Emergency</w:t>
            </w:r>
          </w:p>
        </w:tc>
      </w:tr>
      <w:tr>
        <w:tc>
          <w:tcPr>
            <w:tcW w:type="dxa" w:w="1871"/>
          </w:tcPr>
          <w:p>
            <w:r/>
            <w:r>
              <w:rPr>
                <w:rFonts w:ascii="Calibri" w:hAnsi="Calibri" w:cs="Calibri" w:eastAsia="Calibri"/>
                <w:b w:val="0"/>
                <w:i w:val="0"/>
                <w:sz w:val="18"/>
                <w:szCs w:val="18"/>
              </w:rPr>
              <w:t>Inpatient medication</w:t>
            </w:r>
          </w:p>
        </w:tc>
        <w:tc>
          <w:tcPr>
            <w:tcW w:type="dxa" w:w="1871"/>
          </w:tcPr>
          <w:p>
            <w:r/>
            <w:r>
              <w:rPr>
                <w:rFonts w:ascii="Calibri" w:hAnsi="Calibri" w:cs="Calibri" w:eastAsia="Calibri"/>
                <w:b w:val="0"/>
                <w:i w:val="0"/>
                <w:sz w:val="18"/>
                <w:szCs w:val="18"/>
              </w:rPr>
              <w:t>4 hours</w:t>
            </w:r>
          </w:p>
        </w:tc>
        <w:tc>
          <w:tcPr>
            <w:tcW w:type="dxa" w:w="1871"/>
          </w:tcPr>
          <w:p>
            <w:r/>
            <w:r>
              <w:rPr>
                <w:rFonts w:ascii="Calibri" w:hAnsi="Calibri" w:cs="Calibri" w:eastAsia="Calibri"/>
                <w:b w:val="0"/>
                <w:i w:val="0"/>
                <w:sz w:val="18"/>
                <w:szCs w:val="18"/>
              </w:rPr>
              <w:t>Printed medication administration records (MAR) generated every 4 hours; pharmacy manual verification</w:t>
            </w:r>
          </w:p>
        </w:tc>
        <w:tc>
          <w:tcPr>
            <w:tcW w:type="dxa" w:w="1871"/>
          </w:tcPr>
          <w:p>
            <w:r/>
            <w:r>
              <w:rPr>
                <w:rFonts w:ascii="Calibri" w:hAnsi="Calibri" w:cs="Calibri" w:eastAsia="Calibri"/>
                <w:b w:val="0"/>
                <w:i w:val="0"/>
                <w:sz w:val="18"/>
                <w:szCs w:val="18"/>
              </w:rPr>
              <w:t>MAR printouts, pharmacist on site</w:t>
            </w:r>
          </w:p>
        </w:tc>
        <w:tc>
          <w:tcPr>
            <w:tcW w:type="dxa" w:w="1871"/>
          </w:tcPr>
          <w:p>
            <w:r/>
            <w:r>
              <w:rPr>
                <w:rFonts w:ascii="Calibri" w:hAnsi="Calibri" w:cs="Calibri" w:eastAsia="Calibri"/>
                <w:b w:val="0"/>
                <w:i w:val="0"/>
                <w:sz w:val="18"/>
                <w:szCs w:val="18"/>
              </w:rPr>
              <w:t>Director of Pharmacy</w:t>
            </w:r>
          </w:p>
        </w:tc>
      </w:tr>
      <w:tr>
        <w:tc>
          <w:tcPr>
            <w:tcW w:type="dxa" w:w="1871"/>
          </w:tcPr>
          <w:p>
            <w:r/>
            <w:r>
              <w:rPr>
                <w:rFonts w:ascii="Calibri" w:hAnsi="Calibri" w:cs="Calibri" w:eastAsia="Calibri"/>
                <w:b w:val="0"/>
                <w:i w:val="0"/>
                <w:sz w:val="18"/>
                <w:szCs w:val="18"/>
              </w:rPr>
              <w:t>Diagnostic imaging</w:t>
            </w:r>
          </w:p>
        </w:tc>
        <w:tc>
          <w:tcPr>
            <w:tcW w:type="dxa" w:w="1871"/>
          </w:tcPr>
          <w:p>
            <w:r/>
            <w:r>
              <w:rPr>
                <w:rFonts w:ascii="Calibri" w:hAnsi="Calibri" w:cs="Calibri" w:eastAsia="Calibri"/>
                <w:b w:val="0"/>
                <w:i w:val="0"/>
                <w:sz w:val="18"/>
                <w:szCs w:val="18"/>
              </w:rPr>
              <w:t>8 hours</w:t>
            </w:r>
          </w:p>
        </w:tc>
        <w:tc>
          <w:tcPr>
            <w:tcW w:type="dxa" w:w="1871"/>
          </w:tcPr>
          <w:p>
            <w:r/>
            <w:r>
              <w:rPr>
                <w:rFonts w:ascii="Calibri" w:hAnsi="Calibri" w:cs="Calibri" w:eastAsia="Calibri"/>
                <w:b w:val="0"/>
                <w:i w:val="0"/>
                <w:sz w:val="18"/>
                <w:szCs w:val="18"/>
              </w:rPr>
              <w:t>Modalities store images locally; reports by phone for urgent cases</w:t>
            </w:r>
          </w:p>
        </w:tc>
        <w:tc>
          <w:tcPr>
            <w:tcW w:type="dxa" w:w="1871"/>
          </w:tcPr>
          <w:p>
            <w:r/>
            <w:r>
              <w:rPr>
                <w:rFonts w:ascii="Calibri" w:hAnsi="Calibri" w:cs="Calibri" w:eastAsia="Calibri"/>
                <w:b w:val="0"/>
                <w:i w:val="0"/>
                <w:sz w:val="18"/>
                <w:szCs w:val="18"/>
              </w:rPr>
              <w:t>Modality local storage</w:t>
            </w:r>
          </w:p>
        </w:tc>
        <w:tc>
          <w:tcPr>
            <w:tcW w:type="dxa" w:w="1871"/>
          </w:tcPr>
          <w:p>
            <w:r/>
            <w:r>
              <w:rPr>
                <w:rFonts w:ascii="Calibri" w:hAnsi="Calibri" w:cs="Calibri" w:eastAsia="Calibri"/>
                <w:b w:val="0"/>
                <w:i w:val="0"/>
                <w:sz w:val="18"/>
                <w:szCs w:val="18"/>
              </w:rPr>
              <w:t>Director of Radiology</w:t>
            </w:r>
          </w:p>
        </w:tc>
      </w:tr>
      <w:tr>
        <w:tc>
          <w:tcPr>
            <w:tcW w:type="dxa" w:w="1871"/>
          </w:tcPr>
          <w:p>
            <w:r/>
            <w:r>
              <w:rPr>
                <w:rFonts w:ascii="Calibri" w:hAnsi="Calibri" w:cs="Calibri" w:eastAsia="Calibri"/>
                <w:b w:val="0"/>
                <w:i w:val="0"/>
                <w:sz w:val="18"/>
                <w:szCs w:val="18"/>
              </w:rPr>
              <w:t>Laboratory</w:t>
            </w:r>
          </w:p>
        </w:tc>
        <w:tc>
          <w:tcPr>
            <w:tcW w:type="dxa" w:w="1871"/>
          </w:tcPr>
          <w:p>
            <w:r/>
            <w:r>
              <w:rPr>
                <w:rFonts w:ascii="Calibri" w:hAnsi="Calibri" w:cs="Calibri" w:eastAsia="Calibri"/>
                <w:b w:val="0"/>
                <w:i w:val="0"/>
                <w:sz w:val="18"/>
                <w:szCs w:val="18"/>
              </w:rPr>
              <w:t>8 hours</w:t>
            </w:r>
          </w:p>
        </w:tc>
        <w:tc>
          <w:tcPr>
            <w:tcW w:type="dxa" w:w="1871"/>
          </w:tcPr>
          <w:p>
            <w:r/>
            <w:r>
              <w:rPr>
                <w:rFonts w:ascii="Calibri" w:hAnsi="Calibri" w:cs="Calibri" w:eastAsia="Calibri"/>
                <w:b w:val="0"/>
                <w:i w:val="0"/>
                <w:sz w:val="18"/>
                <w:szCs w:val="18"/>
              </w:rPr>
              <w:t>Analyzer printouts; results phoned for critical values</w:t>
            </w:r>
          </w:p>
        </w:tc>
        <w:tc>
          <w:tcPr>
            <w:tcW w:type="dxa" w:w="1871"/>
          </w:tcPr>
          <w:p>
            <w:r/>
            <w:r>
              <w:rPr>
                <w:rFonts w:ascii="Calibri" w:hAnsi="Calibri" w:cs="Calibri" w:eastAsia="Calibri"/>
                <w:b w:val="0"/>
                <w:i w:val="0"/>
                <w:sz w:val="18"/>
                <w:szCs w:val="18"/>
              </w:rPr>
              <w:t>Paper requisitions</w:t>
            </w:r>
          </w:p>
        </w:tc>
        <w:tc>
          <w:tcPr>
            <w:tcW w:type="dxa" w:w="1871"/>
          </w:tcPr>
          <w:p>
            <w:r/>
            <w:r>
              <w:rPr>
                <w:rFonts w:ascii="Calibri" w:hAnsi="Calibri" w:cs="Calibri" w:eastAsia="Calibri"/>
                <w:b w:val="0"/>
                <w:i w:val="0"/>
                <w:sz w:val="18"/>
                <w:szCs w:val="18"/>
              </w:rPr>
              <w:t>Laboratory Director</w:t>
            </w:r>
          </w:p>
        </w:tc>
      </w:tr>
      <w:tr>
        <w:tc>
          <w:tcPr>
            <w:tcW w:type="dxa" w:w="1871"/>
          </w:tcPr>
          <w:p>
            <w:r/>
            <w:r>
              <w:rPr>
                <w:rFonts w:ascii="Calibri" w:hAnsi="Calibri" w:cs="Calibri" w:eastAsia="Calibri"/>
                <w:b w:val="0"/>
                <w:i w:val="0"/>
                <w:sz w:val="18"/>
                <w:szCs w:val="18"/>
              </w:rPr>
              <w:t>Billing</w:t>
            </w:r>
          </w:p>
        </w:tc>
        <w:tc>
          <w:tcPr>
            <w:tcW w:type="dxa" w:w="1871"/>
          </w:tcPr>
          <w:p>
            <w:r/>
            <w:r>
              <w:rPr>
                <w:rFonts w:ascii="Calibri" w:hAnsi="Calibri" w:cs="Calibri" w:eastAsia="Calibri"/>
                <w:b w:val="0"/>
                <w:i w:val="0"/>
                <w:sz w:val="18"/>
                <w:szCs w:val="18"/>
              </w:rPr>
              <w:t>24 hours</w:t>
            </w:r>
          </w:p>
        </w:tc>
        <w:tc>
          <w:tcPr>
            <w:tcW w:type="dxa" w:w="1871"/>
          </w:tcPr>
          <w:p>
            <w:r/>
            <w:r>
              <w:rPr>
                <w:rFonts w:ascii="Calibri" w:hAnsi="Calibri" w:cs="Calibri" w:eastAsia="Calibri"/>
                <w:b w:val="0"/>
                <w:i w:val="0"/>
                <w:sz w:val="18"/>
                <w:szCs w:val="18"/>
              </w:rPr>
              <w:t>Record charges on paper; enter after recovery</w:t>
            </w:r>
          </w:p>
        </w:tc>
        <w:tc>
          <w:tcPr>
            <w:tcW w:type="dxa" w:w="1871"/>
          </w:tcPr>
          <w:p>
            <w:r/>
            <w:r>
              <w:rPr>
                <w:rFonts w:ascii="Calibri" w:hAnsi="Calibri" w:cs="Calibri" w:eastAsia="Calibri"/>
                <w:b w:val="0"/>
                <w:i w:val="0"/>
                <w:sz w:val="18"/>
                <w:szCs w:val="18"/>
              </w:rPr>
              <w:t>Charge sheets</w:t>
            </w:r>
          </w:p>
        </w:tc>
        <w:tc>
          <w:tcPr>
            <w:tcW w:type="dxa" w:w="1871"/>
          </w:tcPr>
          <w:p>
            <w:r/>
            <w:r>
              <w:rPr>
                <w:rFonts w:ascii="Calibri" w:hAnsi="Calibri" w:cs="Calibri" w:eastAsia="Calibri"/>
                <w:b w:val="0"/>
                <w:i w:val="0"/>
                <w:sz w:val="18"/>
                <w:szCs w:val="18"/>
              </w:rPr>
              <w:t>CFO</w:t>
            </w:r>
          </w:p>
        </w:tc>
      </w:tr>
    </w:tbl>
    <w:p>
      <w:pPr>
        <w:spacing w:after="40"/>
      </w:pPr>
    </w:p>
    <w:p>
      <w:pPr>
        <w:pStyle w:val="Heading2"/>
        <w:keepNext/>
        <w:spacing w:before="120" w:after="80"/>
      </w:pPr>
      <w:r>
        <w:rPr>
          <w:rFonts w:ascii="Calibri" w:hAnsi="Calibri" w:cs="Calibri" w:eastAsia="Calibri"/>
          <w:b/>
          <w:i w:val="0"/>
          <w:color w:val="1F3864"/>
          <w:sz w:val="24"/>
          <w:szCs w:val="24"/>
          <w:bCs/>
        </w:rPr>
        <w:t>4.5 Roles and Communication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continuity roles and communication flow.</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Crisis Management Team, chaired by the CEO, meets in the Riverside command room or by phone bridge.</w:t>
      </w:r>
    </w:p>
    <w:p>
      <w:pPr>
        <w:pStyle w:val="ListBullet"/>
        <w:spacing w:after="40"/>
      </w:pPr>
      <w:r>
        <w:rPr>
          <w:rFonts w:ascii="Calibri" w:hAnsi="Calibri" w:cs="Calibri" w:eastAsia="Calibri"/>
          <w:b w:val="0"/>
          <w:i w:val="0"/>
          <w:sz w:val="21"/>
          <w:szCs w:val="21"/>
        </w:rPr>
        <w:t>Ward and department heads report status every 4 hours to the nursing supervisor on duty.</w:t>
      </w:r>
    </w:p>
    <w:p>
      <w:pPr>
        <w:pStyle w:val="ListBullet"/>
        <w:spacing w:after="40"/>
      </w:pPr>
      <w:r>
        <w:rPr>
          <w:rFonts w:ascii="Calibri" w:hAnsi="Calibri" w:cs="Calibri" w:eastAsia="Calibri"/>
          <w:b w:val="0"/>
          <w:i w:val="0"/>
          <w:sz w:val="21"/>
          <w:szCs w:val="21"/>
        </w:rPr>
        <w:t>IT reports recovery progress against the restoration order every 2 hours.</w:t>
      </w:r>
    </w:p>
    <w:p>
      <w:pPr>
        <w:pStyle w:val="ListBullet"/>
        <w:spacing w:after="40"/>
      </w:pPr>
      <w:r>
        <w:rPr>
          <w:rFonts w:ascii="Calibri" w:hAnsi="Calibri" w:cs="Calibri" w:eastAsia="Calibri"/>
          <w:b w:val="0"/>
          <w:i w:val="0"/>
          <w:sz w:val="21"/>
          <w:szCs w:val="21"/>
        </w:rPr>
        <w:t>Staff receive updates by overhead announcement, SMS, and printed bulletins.</w:t>
      </w:r>
    </w:p>
    <w:p>
      <w:pPr>
        <w:pStyle w:val="Heading2"/>
        <w:keepNext/>
        <w:spacing w:before="120" w:after="80"/>
      </w:pPr>
      <w:r>
        <w:rPr>
          <w:rFonts w:ascii="Calibri" w:hAnsi="Calibri" w:cs="Calibri" w:eastAsia="Calibri"/>
          <w:b/>
          <w:i w:val="0"/>
          <w:color w:val="1F3864"/>
          <w:sz w:val="24"/>
          <w:szCs w:val="24"/>
          <w:bCs/>
        </w:rPr>
        <w:t>4.6 Return to Normal and Deactivation</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how normal operations resume and the plan is closed (RC.RP-04, RC.RP-06).</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Confirm systems are restored and validated (RC-FRM-001).</w:t>
      </w:r>
    </w:p>
    <w:p>
      <w:pPr>
        <w:pStyle w:val="ListBullet"/>
        <w:spacing w:after="40"/>
      </w:pPr>
      <w:r>
        <w:rPr>
          <w:rFonts w:ascii="Calibri" w:hAnsi="Calibri" w:cs="Calibri" w:eastAsia="Calibri"/>
          <w:b w:val="0"/>
          <w:i w:val="0"/>
          <w:sz w:val="21"/>
          <w:szCs w:val="21"/>
        </w:rPr>
        <w:t>Back-enter paper records into systems and reconcile.</w:t>
      </w:r>
    </w:p>
    <w:p>
      <w:pPr>
        <w:pStyle w:val="ListBullet"/>
        <w:spacing w:after="40"/>
      </w:pPr>
      <w:r>
        <w:rPr>
          <w:rFonts w:ascii="Calibri" w:hAnsi="Calibri" w:cs="Calibri" w:eastAsia="Calibri"/>
          <w:b w:val="0"/>
          <w:i w:val="0"/>
          <w:sz w:val="21"/>
          <w:szCs w:val="21"/>
        </w:rPr>
        <w:t>Declare the end of the continuity event and record the decision.</w:t>
      </w:r>
    </w:p>
    <w:p>
      <w:pPr>
        <w:pStyle w:val="ListBullet"/>
        <w:spacing w:after="40"/>
      </w:pPr>
      <w:r>
        <w:rPr>
          <w:rFonts w:ascii="Calibri" w:hAnsi="Calibri" w:cs="Calibri" w:eastAsia="Calibri"/>
          <w:b w:val="0"/>
          <w:i w:val="0"/>
          <w:sz w:val="21"/>
          <w:szCs w:val="21"/>
        </w:rPr>
        <w:t>Hold a lessons-learned review (ID-TPL-001).</w:t>
      </w:r>
    </w:p>
    <w:p>
      <w:pPr>
        <w:pStyle w:val="Heading2"/>
        <w:keepNext/>
        <w:spacing w:before="120" w:after="80"/>
      </w:pPr>
      <w:r>
        <w:rPr>
          <w:rFonts w:ascii="Calibri" w:hAnsi="Calibri" w:cs="Calibri" w:eastAsia="Calibri"/>
          <w:b/>
          <w:i w:val="0"/>
          <w:color w:val="1F3864"/>
          <w:sz w:val="24"/>
          <w:szCs w:val="24"/>
          <w:bCs/>
        </w:rPr>
        <w:t>4.7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Records produced under this document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Test workarounds with the people who will use them, not only the plan authors.</w:t>
      </w:r>
    </w:p>
    <w:p>
      <w:pPr>
        <w:pStyle w:val="ListBullet"/>
        <w:spacing w:after="40"/>
      </w:pPr>
      <w:r>
        <w:rPr>
          <w:rFonts w:ascii="Calibri" w:hAnsi="Calibri" w:cs="Calibri" w:eastAsia="Calibri"/>
          <w:b w:val="0"/>
          <w:i w:val="0"/>
          <w:sz w:val="21"/>
          <w:szCs w:val="21"/>
        </w:rPr>
        <w:t>Pre-print or regularly export critical lists (patients, customers, orders) for outage periods.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Workarounds depend on the same systems that are down (for example, forms stored on the file server).</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RC.RP-01: The recovery portion of the incident response plan is executed once initiated</w:t>
            </w:r>
          </w:p>
          <w:p>
            <w:r>
              <w:rPr>
                <w:rFonts w:ascii="Calibri" w:hAnsi="Calibri" w:cs="Calibri" w:eastAsia="Calibri"/>
                <w:b w:val="0"/>
                <w:i w:val="0"/>
                <w:sz w:val="18"/>
                <w:szCs w:val="18"/>
              </w:rPr>
              <w:t>RC.RP-02: Recovery actions are selected, scoped, prioritized, and performed</w:t>
            </w:r>
          </w:p>
          <w:p>
            <w:r>
              <w:rPr>
                <w:rFonts w:ascii="Calibri" w:hAnsi="Calibri" w:cs="Calibri" w:eastAsia="Calibri"/>
                <w:b w:val="0"/>
                <w:i w:val="0"/>
                <w:sz w:val="18"/>
                <w:szCs w:val="18"/>
              </w:rPr>
              <w:t>RC.RP-04: Critical mission functions and cybersecurity risk management are considered to establish post-incident operational norms</w:t>
            </w:r>
          </w:p>
          <w:p>
            <w:r>
              <w:rPr>
                <w:rFonts w:ascii="Calibri" w:hAnsi="Calibri" w:cs="Calibri" w:eastAsia="Calibri"/>
                <w:b w:val="0"/>
                <w:i w:val="0"/>
                <w:sz w:val="18"/>
                <w:szCs w:val="18"/>
              </w:rPr>
              <w:t>RC.RP-06: The end of incident recovery is declared based on criteria, and incident-related documentation is completed</w:t>
            </w:r>
          </w:p>
          <w:p>
            <w:r>
              <w:rPr>
                <w:rFonts w:ascii="Calibri" w:hAnsi="Calibri" w:cs="Calibri" w:eastAsia="Calibri"/>
                <w:b w:val="0"/>
                <w:i w:val="0"/>
                <w:sz w:val="18"/>
                <w:szCs w:val="18"/>
              </w:rPr>
              <w:t>RC.CO-03: Recovery activities and progress in restoring operational capabilities are communicated to designated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 Annex A.5.30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CP-2</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CRC Notification on CII duties 2024 (prepare a BCP under prescribed criteria) [VERIFY]; ISO 22301:2019 Clause 8.4</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RC-POL-001: Business Continuity Management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RC-PLN-002: IT Disaster Recovery Plan (DRP)</w:t>
            </w:r>
          </w:p>
          <w:p>
            <w:r>
              <w:rPr>
                <w:rFonts w:ascii="Calibri" w:hAnsi="Calibri" w:cs="Calibri" w:eastAsia="Calibri"/>
                <w:b w:val="0"/>
                <w:i w:val="0"/>
                <w:sz w:val="18"/>
                <w:szCs w:val="18"/>
              </w:rPr>
              <w:t>RC-PRC-002: Crisis Communication Procedure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RC-PLN-001  |  Business Continuity Plan (BCP)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