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IT Disaster Recovery Plan (DRP)</w:t>
      </w:r>
    </w:p>
    <w:p>
      <w:pPr>
        <w:spacing w:after="80" w:before="0"/>
      </w:pPr>
      <w:r>
        <w:rPr>
          <w:rFonts w:ascii="Calibri" w:hAnsi="Calibri" w:cs="Calibri" w:eastAsia="Calibri"/>
          <w:b w:val="0"/>
          <w:i w:val="0"/>
          <w:color w:val="595959"/>
          <w:sz w:val="18"/>
          <w:szCs w:val="18"/>
        </w:rPr>
        <w:t>RC-PLN-002  |  Plan  |  Incident Recovery Plan Execution (RC.RP)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RC-PLN-002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IT Disaster Recovery Plan (DRP)</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Plan Execution (RC.RP)</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5.30; supports CRC Notification on CII duties 2024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Legal and Regulatory,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(high priority for CII)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 September 2026</w:t>
            </w:r>
          </w:p>
        </w:tc>
        <w:tc>
          <w:tcPr>
            <w:tcW w:type="dxa" w:w="3742"/>
          </w:tcPr>
          <w:p>
            <w:r/>
            <w:r>
              <w:rPr>
                <w:rFonts w:ascii="Calibri" w:hAnsi="Calibri" w:cs="Calibri" w:eastAsia="Calibri"/>
                <w:b w:val="0"/>
                <w:i w:val="0"/>
                <w:sz w:val="18"/>
                <w:szCs w:val="18"/>
              </w:rPr>
              <w:t>Updated in May 2026 after DR-2026-01; HIS failover measured at 2 hours 50 minutes and the LIS license server step added.</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sets how IT restores critical systems after a disaster or cyber incident: recovery order, strategies, teams, and verification, so systems return within RTO and RPO (RC.RP-01 to RC.RP-05).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Recovery Order and Strategy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systems in recovery order with strategy, RTO, and RPO.</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793"/>
        <w:gridCol w:w="2268"/>
        <w:gridCol w:w="3402"/>
        <w:gridCol w:w="1417"/>
        <w:gridCol w:w="1474"/>
      </w:tblGrid>
      <w:tr>
        <w:trPr>
          <w:tblHeader w:val="true"/>
        </w:trPr>
        <w:tc>
          <w:tcPr>
            <w:tcW w:type="dxa" w:w="794"/>
            <w:shd w:val="clear" w:color="auto" w:fill="1F3864"/>
          </w:tcPr>
          <w:p>
            <w:r/>
            <w:r>
              <w:rPr>
                <w:rFonts w:ascii="Calibri" w:hAnsi="Calibri" w:cs="Calibri" w:eastAsia="Calibri"/>
                <w:b/>
                <w:i w:val="0"/>
                <w:color w:val="FFFFFF"/>
                <w:sz w:val="18"/>
                <w:szCs w:val="18"/>
                <w:bCs/>
              </w:rPr>
              <w:t>Order</w:t>
            </w:r>
          </w:p>
        </w:tc>
        <w:tc>
          <w:tcPr>
            <w:tcW w:type="dxa" w:w="2268"/>
            <w:shd w:val="clear" w:color="auto" w:fill="1F3864"/>
          </w:tcPr>
          <w:p>
            <w:r/>
            <w:r>
              <w:rPr>
                <w:rFonts w:ascii="Calibri" w:hAnsi="Calibri" w:cs="Calibri" w:eastAsia="Calibri"/>
                <w:b/>
                <w:i w:val="0"/>
                <w:color w:val="FFFFFF"/>
                <w:sz w:val="18"/>
                <w:szCs w:val="18"/>
                <w:bCs/>
              </w:rPr>
              <w:t>System</w:t>
            </w:r>
          </w:p>
        </w:tc>
        <w:tc>
          <w:tcPr>
            <w:tcW w:type="dxa" w:w="3402"/>
            <w:shd w:val="clear" w:color="auto" w:fill="1F3864"/>
          </w:tcPr>
          <w:p>
            <w:r/>
            <w:r>
              <w:rPr>
                <w:rFonts w:ascii="Calibri" w:hAnsi="Calibri" w:cs="Calibri" w:eastAsia="Calibri"/>
                <w:b/>
                <w:i w:val="0"/>
                <w:color w:val="FFFFFF"/>
                <w:sz w:val="18"/>
                <w:szCs w:val="18"/>
                <w:bCs/>
              </w:rPr>
              <w:t>Strategy</w:t>
            </w:r>
          </w:p>
        </w:tc>
        <w:tc>
          <w:tcPr>
            <w:tcW w:type="dxa" w:w="1417"/>
            <w:shd w:val="clear" w:color="auto" w:fill="1F3864"/>
          </w:tcPr>
          <w:p>
            <w:r/>
            <w:r>
              <w:rPr>
                <w:rFonts w:ascii="Calibri" w:hAnsi="Calibri" w:cs="Calibri" w:eastAsia="Calibri"/>
                <w:b/>
                <w:i w:val="0"/>
                <w:color w:val="FFFFFF"/>
                <w:sz w:val="18"/>
                <w:szCs w:val="18"/>
                <w:bCs/>
              </w:rPr>
              <w:t>RTO</w:t>
            </w:r>
          </w:p>
        </w:tc>
        <w:tc>
          <w:tcPr>
            <w:tcW w:type="dxa" w:w="1474"/>
            <w:shd w:val="clear" w:color="auto" w:fill="1F3864"/>
          </w:tcPr>
          <w:p>
            <w:r/>
            <w:r>
              <w:rPr>
                <w:rFonts w:ascii="Calibri" w:hAnsi="Calibri" w:cs="Calibri" w:eastAsia="Calibri"/>
                <w:b/>
                <w:i w:val="0"/>
                <w:color w:val="FFFFFF"/>
                <w:sz w:val="18"/>
                <w:szCs w:val="18"/>
                <w:bCs/>
              </w:rPr>
              <w:t>RPO</w:t>
            </w:r>
          </w:p>
        </w:tc>
      </w:tr>
      <w:tr>
        <w:tc>
          <w:tcPr>
            <w:tcW w:type="dxa" w:w="79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Core network and firewalls (both hospitals)</w:t>
            </w:r>
          </w:p>
        </w:tc>
        <w:tc>
          <w:tcPr>
            <w:tcW w:type="dxa" w:w="3402"/>
          </w:tcPr>
          <w:p>
            <w:r/>
            <w:r>
              <w:rPr>
                <w:rFonts w:ascii="Calibri" w:hAnsi="Calibri" w:cs="Calibri" w:eastAsia="Calibri"/>
                <w:b w:val="0"/>
                <w:i w:val="0"/>
                <w:sz w:val="18"/>
                <w:szCs w:val="18"/>
              </w:rPr>
              <w:t>Redundant pairs; configs in offline vault</w:t>
            </w:r>
          </w:p>
        </w:tc>
        <w:tc>
          <w:tcPr>
            <w:tcW w:type="dxa" w:w="1417"/>
          </w:tcPr>
          <w:p>
            <w:r/>
            <w:r>
              <w:rPr>
                <w:rFonts w:ascii="Calibri" w:hAnsi="Calibri" w:cs="Calibri" w:eastAsia="Calibri"/>
                <w:b w:val="0"/>
                <w:i w:val="0"/>
                <w:sz w:val="18"/>
                <w:szCs w:val="18"/>
              </w:rPr>
              <w:t>2 hours</w:t>
            </w:r>
          </w:p>
        </w:tc>
        <w:tc>
          <w:tcPr>
            <w:tcW w:type="dxa" w:w="1474"/>
          </w:tcPr>
          <w:p>
            <w:r/>
            <w:r>
              <w:rPr>
                <w:rFonts w:ascii="Calibri" w:hAnsi="Calibri" w:cs="Calibri" w:eastAsia="Calibri"/>
                <w:b w:val="0"/>
                <w:i w:val="0"/>
                <w:sz w:val="18"/>
                <w:szCs w:val="18"/>
              </w:rPr>
              <w:t>Not applicable</w:t>
            </w:r>
          </w:p>
        </w:tc>
      </w:tr>
      <w:tr>
        <w:tc>
          <w:tcPr>
            <w:tcW w:type="dxa" w:w="79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Active Directory and Entra ID</w:t>
            </w:r>
          </w:p>
        </w:tc>
        <w:tc>
          <w:tcPr>
            <w:tcW w:type="dxa" w:w="3402"/>
          </w:tcPr>
          <w:p>
            <w:r/>
            <w:r>
              <w:rPr>
                <w:rFonts w:ascii="Calibri" w:hAnsi="Calibri" w:cs="Calibri" w:eastAsia="Calibri"/>
                <w:b w:val="0"/>
                <w:i w:val="0"/>
                <w:sz w:val="18"/>
                <w:szCs w:val="18"/>
              </w:rPr>
              <w:t>Restore domain controller from immutable backup; clean rebuild if compromised</w:t>
            </w:r>
          </w:p>
        </w:tc>
        <w:tc>
          <w:tcPr>
            <w:tcW w:type="dxa" w:w="1417"/>
          </w:tcPr>
          <w:p>
            <w:r/>
            <w:r>
              <w:rPr>
                <w:rFonts w:ascii="Calibri" w:hAnsi="Calibri" w:cs="Calibri" w:eastAsia="Calibri"/>
                <w:b w:val="0"/>
                <w:i w:val="0"/>
                <w:sz w:val="18"/>
                <w:szCs w:val="18"/>
              </w:rPr>
              <w:t>4 hours</w:t>
            </w:r>
          </w:p>
        </w:tc>
        <w:tc>
          <w:tcPr>
            <w:tcW w:type="dxa" w:w="1474"/>
          </w:tcPr>
          <w:p>
            <w:r/>
            <w:r>
              <w:rPr>
                <w:rFonts w:ascii="Calibri" w:hAnsi="Calibri" w:cs="Calibri" w:eastAsia="Calibri"/>
                <w:b w:val="0"/>
                <w:i w:val="0"/>
                <w:sz w:val="18"/>
                <w:szCs w:val="18"/>
              </w:rPr>
              <w:t>24 hours</w:t>
            </w:r>
          </w:p>
        </w:tc>
      </w:tr>
      <w:tr>
        <w:tc>
          <w:tcPr>
            <w:tcW w:type="dxa" w:w="79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HIS</w:t>
            </w:r>
          </w:p>
        </w:tc>
        <w:tc>
          <w:tcPr>
            <w:tcW w:type="dxa" w:w="3402"/>
          </w:tcPr>
          <w:p>
            <w:r/>
            <w:r>
              <w:rPr>
                <w:rFonts w:ascii="Calibri" w:hAnsi="Calibri" w:cs="Calibri" w:eastAsia="Calibri"/>
                <w:b w:val="0"/>
                <w:i w:val="0"/>
                <w:sz w:val="18"/>
                <w:szCs w:val="18"/>
              </w:rPr>
              <w:t>Fail over to Nonthaburi DR site (replicated) or restore from immutable backup</w:t>
            </w:r>
          </w:p>
        </w:tc>
        <w:tc>
          <w:tcPr>
            <w:tcW w:type="dxa" w:w="1417"/>
          </w:tcPr>
          <w:p>
            <w:r/>
            <w:r>
              <w:rPr>
                <w:rFonts w:ascii="Calibri" w:hAnsi="Calibri" w:cs="Calibri" w:eastAsia="Calibri"/>
                <w:b w:val="0"/>
                <w:i w:val="0"/>
                <w:sz w:val="18"/>
                <w:szCs w:val="18"/>
              </w:rPr>
              <w:t>4 hours</w:t>
            </w:r>
          </w:p>
        </w:tc>
        <w:tc>
          <w:tcPr>
            <w:tcW w:type="dxa" w:w="1474"/>
          </w:tcPr>
          <w:p>
            <w:r/>
            <w:r>
              <w:rPr>
                <w:rFonts w:ascii="Calibri" w:hAnsi="Calibri" w:cs="Calibri" w:eastAsia="Calibri"/>
                <w:b w:val="0"/>
                <w:i w:val="0"/>
                <w:sz w:val="18"/>
                <w:szCs w:val="18"/>
              </w:rPr>
              <w:t>15 minutes</w:t>
            </w:r>
          </w:p>
        </w:tc>
      </w:tr>
      <w:tr>
        <w:tc>
          <w:tcPr>
            <w:tcW w:type="dxa" w:w="79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LIS and PACS</w:t>
            </w:r>
          </w:p>
        </w:tc>
        <w:tc>
          <w:tcPr>
            <w:tcW w:type="dxa" w:w="3402"/>
          </w:tcPr>
          <w:p>
            <w:r/>
            <w:r>
              <w:rPr>
                <w:rFonts w:ascii="Calibri" w:hAnsi="Calibri" w:cs="Calibri" w:eastAsia="Calibri"/>
                <w:b w:val="0"/>
                <w:i w:val="0"/>
                <w:sz w:val="18"/>
                <w:szCs w:val="18"/>
              </w:rPr>
              <w:t>Restore at DR site; modalities buffer locally</w:t>
            </w:r>
          </w:p>
        </w:tc>
        <w:tc>
          <w:tcPr>
            <w:tcW w:type="dxa" w:w="1417"/>
          </w:tcPr>
          <w:p>
            <w:r/>
            <w:r>
              <w:rPr>
                <w:rFonts w:ascii="Calibri" w:hAnsi="Calibri" w:cs="Calibri" w:eastAsia="Calibri"/>
                <w:b w:val="0"/>
                <w:i w:val="0"/>
                <w:sz w:val="18"/>
                <w:szCs w:val="18"/>
              </w:rPr>
              <w:t>8 hours</w:t>
            </w:r>
          </w:p>
        </w:tc>
        <w:tc>
          <w:tcPr>
            <w:tcW w:type="dxa" w:w="1474"/>
          </w:tcPr>
          <w:p>
            <w:r/>
            <w:r>
              <w:rPr>
                <w:rFonts w:ascii="Calibri" w:hAnsi="Calibri" w:cs="Calibri" w:eastAsia="Calibri"/>
                <w:b w:val="0"/>
                <w:i w:val="0"/>
                <w:sz w:val="18"/>
                <w:szCs w:val="18"/>
              </w:rPr>
              <w:t>1 hour</w:t>
            </w:r>
          </w:p>
        </w:tc>
      </w:tr>
      <w:tr>
        <w:tc>
          <w:tcPr>
            <w:tcW w:type="dxa" w:w="79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ERP (private cloud)</w:t>
            </w:r>
          </w:p>
        </w:tc>
        <w:tc>
          <w:tcPr>
            <w:tcW w:type="dxa" w:w="3402"/>
          </w:tcPr>
          <w:p>
            <w:r/>
            <w:r>
              <w:rPr>
                <w:rFonts w:ascii="Calibri" w:hAnsi="Calibri" w:cs="Calibri" w:eastAsia="Calibri"/>
                <w:b w:val="0"/>
                <w:i w:val="0"/>
                <w:sz w:val="18"/>
                <w:szCs w:val="18"/>
              </w:rPr>
              <w:t>Provider recovery per contract</w:t>
            </w:r>
          </w:p>
        </w:tc>
        <w:tc>
          <w:tcPr>
            <w:tcW w:type="dxa" w:w="1417"/>
          </w:tcPr>
          <w:p>
            <w:r/>
            <w:r>
              <w:rPr>
                <w:rFonts w:ascii="Calibri" w:hAnsi="Calibri" w:cs="Calibri" w:eastAsia="Calibri"/>
                <w:b w:val="0"/>
                <w:i w:val="0"/>
                <w:sz w:val="18"/>
                <w:szCs w:val="18"/>
              </w:rPr>
              <w:t>24 hours</w:t>
            </w:r>
          </w:p>
        </w:tc>
        <w:tc>
          <w:tcPr>
            <w:tcW w:type="dxa" w:w="1474"/>
          </w:tcPr>
          <w:p>
            <w:r/>
            <w:r>
              <w:rPr>
                <w:rFonts w:ascii="Calibri" w:hAnsi="Calibri" w:cs="Calibri" w:eastAsia="Calibri"/>
                <w:b w:val="0"/>
                <w:i w:val="0"/>
                <w:sz w:val="18"/>
                <w:szCs w:val="18"/>
              </w:rPr>
              <w:t>4 hours</w:t>
            </w:r>
          </w:p>
        </w:tc>
      </w:tr>
      <w:tr>
        <w:tc>
          <w:tcPr>
            <w:tcW w:type="dxa" w:w="79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Microsoft 365</w:t>
            </w:r>
          </w:p>
        </w:tc>
        <w:tc>
          <w:tcPr>
            <w:tcW w:type="dxa" w:w="3402"/>
          </w:tcPr>
          <w:p>
            <w:r/>
            <w:r>
              <w:rPr>
                <w:rFonts w:ascii="Calibri" w:hAnsi="Calibri" w:cs="Calibri" w:eastAsia="Calibri"/>
                <w:b w:val="0"/>
                <w:i w:val="0"/>
                <w:sz w:val="18"/>
                <w:szCs w:val="18"/>
              </w:rPr>
              <w:t>Cloud service; third-party backup for mailboxes</w:t>
            </w:r>
          </w:p>
        </w:tc>
        <w:tc>
          <w:tcPr>
            <w:tcW w:type="dxa" w:w="1417"/>
          </w:tcPr>
          <w:p>
            <w:r/>
            <w:r>
              <w:rPr>
                <w:rFonts w:ascii="Calibri" w:hAnsi="Calibri" w:cs="Calibri" w:eastAsia="Calibri"/>
                <w:b w:val="0"/>
                <w:i w:val="0"/>
                <w:sz w:val="18"/>
                <w:szCs w:val="18"/>
              </w:rPr>
              <w:t>8 hours</w:t>
            </w:r>
          </w:p>
        </w:tc>
        <w:tc>
          <w:tcPr>
            <w:tcW w:type="dxa" w:w="1474"/>
          </w:tcPr>
          <w:p>
            <w:r/>
            <w:r>
              <w:rPr>
                <w:rFonts w:ascii="Calibri" w:hAnsi="Calibri" w:cs="Calibri" w:eastAsia="Calibri"/>
                <w:b w:val="0"/>
                <w:i w:val="0"/>
                <w:sz w:val="18"/>
                <w:szCs w:val="18"/>
              </w:rPr>
              <w:t>24 hours</w:t>
            </w:r>
          </w:p>
        </w:tc>
      </w:tr>
    </w:tbl>
    <w:p>
      <w:pPr>
        <w:spacing w:after="40"/>
      </w:pPr>
    </w:p>
    <w:p>
      <w:pPr>
        <w:pStyle w:val="Heading2"/>
        <w:keepNext/>
        <w:spacing w:before="120" w:after="80"/>
      </w:pPr>
      <w:r>
        <w:rPr>
          <w:rFonts w:ascii="Calibri" w:hAnsi="Calibri" w:cs="Calibri" w:eastAsia="Calibri"/>
          <w:b/>
          <w:i w:val="0"/>
          <w:color w:val="1F3864"/>
          <w:sz w:val="24"/>
          <w:szCs w:val="24"/>
          <w:bCs/>
        </w:rPr>
        <w:t>4.4 Recovery Steps and Verification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recovery sequence and checks (RC.RP-03, RC.RP-05).</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Confirm recovery is authorized and criteria in RS-PLN-001 are met (for cyber incidents).</w:t>
      </w:r>
    </w:p>
    <w:p>
      <w:pPr>
        <w:pStyle w:val="ListNumber"/>
        <w:spacing w:after="40"/>
      </w:pPr>
      <w:r>
        <w:rPr>
          <w:rFonts w:ascii="Calibri" w:hAnsi="Calibri" w:cs="Calibri" w:eastAsia="Calibri"/>
          <w:b w:val="0"/>
          <w:i w:val="0"/>
          <w:sz w:val="21"/>
          <w:szCs w:val="21"/>
        </w:rPr>
        <w:t>Select restore points and verify backup integrity before use (RC.RP-03).</w:t>
      </w:r>
    </w:p>
    <w:p>
      <w:pPr>
        <w:pStyle w:val="ListNumber"/>
        <w:spacing w:after="40"/>
      </w:pPr>
      <w:r>
        <w:rPr>
          <w:rFonts w:ascii="Calibri" w:hAnsi="Calibri" w:cs="Calibri" w:eastAsia="Calibri"/>
          <w:b w:val="0"/>
          <w:i w:val="0"/>
          <w:sz w:val="21"/>
          <w:szCs w:val="21"/>
        </w:rPr>
        <w:t>Restore systems in order using runbooks (RC-PRC-001).</w:t>
      </w:r>
    </w:p>
    <w:p>
      <w:pPr>
        <w:pStyle w:val="ListNumber"/>
        <w:spacing w:after="40"/>
      </w:pPr>
      <w:r>
        <w:rPr>
          <w:rFonts w:ascii="Calibri" w:hAnsi="Calibri" w:cs="Calibri" w:eastAsia="Calibri"/>
          <w:b w:val="0"/>
          <w:i w:val="0"/>
          <w:sz w:val="21"/>
          <w:szCs w:val="21"/>
        </w:rPr>
        <w:t>Verify integrity: malware scan, configuration check against baseline, monitoring re-enabled.</w:t>
      </w:r>
    </w:p>
    <w:p>
      <w:pPr>
        <w:pStyle w:val="ListNumber"/>
        <w:spacing w:after="40"/>
      </w:pPr>
      <w:r>
        <w:rPr>
          <w:rFonts w:ascii="Calibri" w:hAnsi="Calibri" w:cs="Calibri" w:eastAsia="Calibri"/>
          <w:b w:val="0"/>
          <w:i w:val="0"/>
          <w:sz w:val="21"/>
          <w:szCs w:val="21"/>
        </w:rPr>
        <w:t>System owner validates function and data; sign RC-FRM-001 (RC.RP-05).</w:t>
      </w:r>
    </w:p>
    <w:p>
      <w:pPr>
        <w:pStyle w:val="ListNumber"/>
        <w:spacing w:after="40"/>
      </w:pPr>
      <w:r>
        <w:rPr>
          <w:rFonts w:ascii="Calibri" w:hAnsi="Calibri" w:cs="Calibri" w:eastAsia="Calibri"/>
          <w:b w:val="0"/>
          <w:i w:val="0"/>
          <w:sz w:val="21"/>
          <w:szCs w:val="21"/>
        </w:rPr>
        <w:t>Return users in a controlled way and monitor closely for re-compromise.</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RC-FRM-001: Recovery Completion and Sign-off Form</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Recover identity and network first; nothing else works without them.</w:t>
      </w:r>
    </w:p>
    <w:p>
      <w:pPr>
        <w:pStyle w:val="ListBullet"/>
        <w:spacing w:after="40"/>
      </w:pPr>
      <w:r>
        <w:rPr>
          <w:rFonts w:ascii="Calibri" w:hAnsi="Calibri" w:cs="Calibri" w:eastAsia="Calibri"/>
          <w:b w:val="0"/>
          <w:i w:val="0"/>
          <w:sz w:val="21"/>
          <w:szCs w:val="21"/>
        </w:rPr>
        <w:t>Keep DR documentation and credentials available offline.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DR plan assumes a clean environment and has no steps for ransomware where backups and identity may be compromised.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RC.RP-01: The recovery portion of the incident response plan is executed once initiated</w:t>
            </w:r>
          </w:p>
          <w:p>
            <w:r>
              <w:rPr>
                <w:rFonts w:ascii="Calibri" w:hAnsi="Calibri" w:cs="Calibri" w:eastAsia="Calibri"/>
                <w:b w:val="0"/>
                <w:i w:val="0"/>
                <w:sz w:val="18"/>
                <w:szCs w:val="18"/>
              </w:rPr>
              <w:t>RC.RP-02: Recovery actions are selected, scoped, prioritized, and performed</w:t>
            </w:r>
          </w:p>
          <w:p>
            <w:r>
              <w:rPr>
                <w:rFonts w:ascii="Calibri" w:hAnsi="Calibri" w:cs="Calibri" w:eastAsia="Calibri"/>
                <w:b w:val="0"/>
                <w:i w:val="0"/>
                <w:sz w:val="18"/>
                <w:szCs w:val="18"/>
              </w:rPr>
              <w:t>RC.RP-03: The integrity of backups and other restoration assets is verified before using them for restoration</w:t>
            </w:r>
          </w:p>
          <w:p>
            <w:r>
              <w:rPr>
                <w:rFonts w:ascii="Calibri" w:hAnsi="Calibri" w:cs="Calibri" w:eastAsia="Calibri"/>
                <w:b w:val="0"/>
                <w:i w:val="0"/>
                <w:sz w:val="18"/>
                <w:szCs w:val="18"/>
              </w:rPr>
              <w:t>RC.RP-05: The integrity of restored assets is verified, systems and services are restored, and normal operating status is confirmed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A.5.30, Annex A.8.14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CP-2, CP-10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5.30; supports CRC Notification on CII duties 2024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RC-PLN-001: Business Continuity Plan (BCP)</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RC-PRC-001: System Recovery Runbook Template</w:t>
            </w:r>
          </w:p>
          <w:p>
            <w:r>
              <w:rPr>
                <w:rFonts w:ascii="Calibri" w:hAnsi="Calibri" w:cs="Calibri" w:eastAsia="Calibri"/>
                <w:b w:val="0"/>
                <w:i w:val="0"/>
                <w:sz w:val="18"/>
                <w:szCs w:val="18"/>
              </w:rPr>
              <w:t>RC-FRM-001: Recovery Completion and Sign-off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RC-PLN-002  |  IT Disaster Recovery Plan (DRP)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