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Business Continuity Management Policy</w:t>
      </w:r>
    </w:p>
    <w:p>
      <w:pPr>
        <w:spacing w:after="80" w:before="0"/>
      </w:pPr>
      <w:r>
        <w:rPr>
          <w:rFonts w:ascii="Calibri" w:hAnsi="Calibri" w:cs="Calibri" w:eastAsia="Calibri"/>
          <w:b w:val="0"/>
          <w:i w:val="0"/>
          <w:color w:val="595959"/>
          <w:sz w:val="18"/>
          <w:szCs w:val="18"/>
        </w:rPr>
        <w:t>RC-POL-001  |  Policy  |  Incident Recovery Plan Execution (RC.RP)</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RC-POL-001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Business Continuity Management Policy</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BCM Coordinator, Quality and Risk Management Department</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Executive Officer (CEO)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6 March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6 March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1: Policy</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Policy</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Recover (RC)</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Incident Recovery Plan Execution (RC.RP)</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CII</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CRC Notification on CII duties 2024 (BCP) [VERIFY]; ISO 22301:2019 Clause 5.2; ISO/IEC 27001:2022 Annex A 5.29 and 5.30</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Governance, Legal and Regulatory, Resilience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14 March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BCM Coordinator, Quality and Risk Management Department</w:t>
            </w:r>
          </w:p>
        </w:tc>
        <w:tc>
          <w:tcPr>
            <w:tcW w:type="dxa" w:w="1531"/>
          </w:tcPr>
          <w:p>
            <w:r/>
            <w:r>
              <w:rPr>
                <w:rFonts w:ascii="Calibri" w:hAnsi="Calibri" w:cs="Calibri" w:eastAsia="Calibri"/>
                <w:b w:val="0"/>
                <w:i w:val="0"/>
                <w:sz w:val="18"/>
                <w:szCs w:val="18"/>
              </w:rPr>
              <w:t>Chief Executive Officer (CEO)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6 March 2026</w:t>
            </w:r>
          </w:p>
        </w:tc>
        <w:tc>
          <w:tcPr>
            <w:tcW w:type="dxa" w:w="3742"/>
          </w:tcPr>
          <w:p>
            <w:r/>
            <w:r>
              <w:rPr>
                <w:rFonts w:ascii="Calibri" w:hAnsi="Calibri" w:cs="Calibri" w:eastAsia="Calibri"/>
                <w:b w:val="0"/>
                <w:i w:val="0"/>
                <w:sz w:val="18"/>
                <w:szCs w:val="18"/>
              </w:rPr>
              <w:t>Updated after the February 2026 ransomware tabletop exercise (EX-2026-01) and the May 2026 DR test.</w:t>
            </w:r>
          </w:p>
        </w:tc>
        <w:tc>
          <w:tcPr>
            <w:tcW w:type="dxa" w:w="1587"/>
          </w:tcPr>
          <w:p>
            <w:r/>
            <w:r>
              <w:rPr>
                <w:rFonts w:ascii="Calibri" w:hAnsi="Calibri" w:cs="Calibri" w:eastAsia="Calibri"/>
                <w:b w:val="0"/>
                <w:i w:val="0"/>
                <w:sz w:val="18"/>
                <w:szCs w:val="18"/>
              </w:rPr>
              <w:t>BCM Coordinator, Quality and Risk Management Department</w:t>
            </w:r>
          </w:p>
        </w:tc>
        <w:tc>
          <w:tcPr>
            <w:tcW w:type="dxa" w:w="1531"/>
          </w:tcPr>
          <w:p>
            <w:r/>
            <w:r>
              <w:rPr>
                <w:rFonts w:ascii="Calibri" w:hAnsi="Calibri" w:cs="Calibri" w:eastAsia="Calibri"/>
                <w:b w:val="0"/>
                <w:i w:val="0"/>
                <w:sz w:val="18"/>
                <w:szCs w:val="18"/>
              </w:rPr>
              <w:t>Chief Executive Officer (CEO)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commits Chaophraya Medical Center (CMC) to maintaining critical services during disruption and recovering them within approved objectives, through a business continuity management (BCM) program (RC.RP, GV.OC-04).</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policy applies to all employees, contractors, temporary staff, and third parties who access Chaophraya Medical Center (CMC) information or information systems, at all sites, including cloud services operated on behalf of Chaophraya Medical Center (CMC).</w:t>
      </w:r>
    </w:p>
    <w:p>
      <w:pPr>
        <w:pStyle w:val="Heading2"/>
        <w:keepNext/>
        <w:spacing w:before="120" w:after="80"/>
      </w:pPr>
      <w:r>
        <w:rPr>
          <w:rFonts w:ascii="Calibri" w:hAnsi="Calibri" w:cs="Calibri" w:eastAsia="Calibri"/>
          <w:b/>
          <w:i w:val="0"/>
          <w:color w:val="1F3864"/>
          <w:sz w:val="24"/>
          <w:szCs w:val="24"/>
          <w:bCs/>
        </w:rPr>
        <w:t>4.3 Policy Statements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mandatory BCM principles (ISO 22301:2019 Clause 5.2).</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The BIA covers both hospitals and is reviewed every January by the ISSC.</w:t>
      </w:r>
    </w:p>
    <w:p>
      <w:pPr>
        <w:pStyle w:val="ListBullet"/>
        <w:spacing w:after="40"/>
      </w:pPr>
      <w:r>
        <w:rPr>
          <w:rFonts w:ascii="Calibri" w:hAnsi="Calibri" w:cs="Calibri" w:eastAsia="Calibri"/>
          <w:b w:val="0"/>
          <w:i w:val="0"/>
          <w:sz w:val="21"/>
          <w:szCs w:val="21"/>
        </w:rPr>
        <w:t>Each clinical department has a downtime procedure; HIS, PACS, LIS, and ERP have DR plans tested yearly.</w:t>
      </w:r>
    </w:p>
    <w:p>
      <w:pPr>
        <w:pStyle w:val="ListBullet"/>
        <w:spacing w:after="40"/>
      </w:pPr>
      <w:r>
        <w:rPr>
          <w:rFonts w:ascii="Calibri" w:hAnsi="Calibri" w:cs="Calibri" w:eastAsia="Calibri"/>
          <w:b w:val="0"/>
          <w:i w:val="0"/>
          <w:sz w:val="21"/>
          <w:szCs w:val="21"/>
        </w:rPr>
        <w:t>Ransomware and prolonged HIS outage are mandatory BCP scenarios.</w:t>
      </w:r>
    </w:p>
    <w:p>
      <w:pPr>
        <w:pStyle w:val="ListBullet"/>
        <w:spacing w:after="40"/>
      </w:pPr>
      <w:r>
        <w:rPr>
          <w:rFonts w:ascii="Calibri" w:hAnsi="Calibri" w:cs="Calibri" w:eastAsia="Calibri"/>
          <w:b w:val="0"/>
          <w:i w:val="0"/>
          <w:sz w:val="21"/>
          <w:szCs w:val="21"/>
        </w:rPr>
        <w:t>CMC exercises the BCP at least once a year, as CII duties require [VERIFY], and after major incidents.</w:t>
      </w:r>
    </w:p>
    <w:p>
      <w:pPr>
        <w:pStyle w:val="ListBullet"/>
        <w:spacing w:after="40"/>
      </w:pPr>
      <w:r>
        <w:rPr>
          <w:rFonts w:ascii="Calibri" w:hAnsi="Calibri" w:cs="Calibri" w:eastAsia="Calibri"/>
          <w:b w:val="0"/>
          <w:i w:val="0"/>
          <w:sz w:val="21"/>
          <w:szCs w:val="21"/>
        </w:rPr>
        <w:t>Paper downtime records containing patient data are stored and later scanned or destroyed securely.</w:t>
      </w:r>
    </w:p>
    <w:p>
      <w:pPr>
        <w:pStyle w:val="ListBullet"/>
        <w:spacing w:after="40"/>
      </w:pPr>
      <w:r>
        <w:rPr>
          <w:rFonts w:ascii="Calibri" w:hAnsi="Calibri" w:cs="Calibri" w:eastAsia="Calibri"/>
          <w:b w:val="0"/>
          <w:i w:val="0"/>
          <w:sz w:val="21"/>
          <w:szCs w:val="21"/>
        </w:rPr>
        <w:t>HIS Vendor A and the MSSP have contractual recovery commitments aligned with the BIA.</w:t>
      </w:r>
    </w:p>
    <w:p>
      <w:pPr>
        <w:pStyle w:val="Heading2"/>
        <w:keepNext/>
        <w:spacing w:before="120" w:after="80"/>
      </w:pPr>
      <w:r>
        <w:rPr>
          <w:rFonts w:ascii="Calibri" w:hAnsi="Calibri" w:cs="Calibri" w:eastAsia="Calibri"/>
          <w:b/>
          <w:i w:val="0"/>
          <w:color w:val="1F3864"/>
          <w:sz w:val="24"/>
          <w:szCs w:val="24"/>
          <w:bCs/>
        </w:rPr>
        <w:t>4.4 Compliance and Exceptions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that compliance is mandatory, how compliance is verified, how exceptions are requested, and the consequence of violation.</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Compliance with this policy is mandatory for everyone in scope.</w:t>
      </w:r>
    </w:p>
    <w:p>
      <w:pPr>
        <w:pStyle w:val="ListBullet"/>
        <w:spacing w:after="40"/>
      </w:pPr>
      <w:r>
        <w:rPr>
          <w:rFonts w:ascii="Calibri" w:hAnsi="Calibri" w:cs="Calibri" w:eastAsia="Calibri"/>
          <w:b w:val="0"/>
          <w:i w:val="0"/>
          <w:sz w:val="21"/>
          <w:szCs w:val="21"/>
        </w:rPr>
        <w:t>The Security Manager verifies compliance through periodic reviews, technical checks, and internal audit (GV-PRC-007).</w:t>
      </w:r>
    </w:p>
    <w:p>
      <w:pPr>
        <w:pStyle w:val="ListBullet"/>
        <w:spacing w:after="40"/>
      </w:pPr>
      <w:r>
        <w:rPr>
          <w:rFonts w:ascii="Calibri" w:hAnsi="Calibri" w:cs="Calibri" w:eastAsia="Calibri"/>
          <w:b w:val="0"/>
          <w:i w:val="0"/>
          <w:sz w:val="21"/>
          <w:szCs w:val="21"/>
        </w:rPr>
        <w:t>Requests for deviation follow the Policy Exception Management Procedure (GV-PRC-003). No exception is valid without written approval and an expiry date.</w:t>
      </w:r>
    </w:p>
    <w:p>
      <w:pPr>
        <w:pStyle w:val="ListBullet"/>
        <w:spacing w:after="40"/>
      </w:pPr>
      <w:r>
        <w:rPr>
          <w:rFonts w:ascii="Calibri" w:hAnsi="Calibri" w:cs="Calibri" w:eastAsia="Calibri"/>
          <w:b w:val="0"/>
          <w:i w:val="0"/>
          <w:sz w:val="21"/>
          <w:szCs w:val="21"/>
        </w:rPr>
        <w:t>Violations may result in disciplinary action under the Human Resources Security Standard (GV-STD-001) and applicable law.</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Integrate IT disaster recovery, cyber incident response, and business continuity so they hand off cleanly.</w:t>
      </w:r>
    </w:p>
    <w:p>
      <w:pPr>
        <w:pStyle w:val="ListBullet"/>
        <w:spacing w:after="40"/>
      </w:pPr>
      <w:r>
        <w:rPr>
          <w:rFonts w:ascii="Calibri" w:hAnsi="Calibri" w:cs="Calibri" w:eastAsia="Calibri"/>
          <w:b w:val="0"/>
          <w:i w:val="0"/>
          <w:sz w:val="21"/>
          <w:szCs w:val="21"/>
        </w:rPr>
        <w:t>Make business units own their continuity plans; IT owns technology recovery.</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Treating BCP as an IT document only, with no business workarounds.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RC.RP-01: The recovery portion of the incident response plan is executed once initiated</w:t>
            </w:r>
          </w:p>
          <w:p>
            <w:r>
              <w:rPr>
                <w:rFonts w:ascii="Calibri" w:hAnsi="Calibri" w:cs="Calibri" w:eastAsia="Calibri"/>
                <w:b w:val="0"/>
                <w:i w:val="0"/>
                <w:sz w:val="18"/>
                <w:szCs w:val="18"/>
              </w:rPr>
              <w:t>GV.OC-04: Critical objectives, capabilities, and services that external stakeholders depend on are understood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A.5.29, Annex A.5.30</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CP-1</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CRC Notification on CII duties 2024 (BCP) [VERIFY]; ISO 22301:2019 Clause 5.2; ISO/IEC 27001:2022 Annex A 5.29 and 5.30</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GV-CHR-001: Cybersecurity Governance Charter</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ID-RPT-002: Business Impact Analysis (BIA)</w:t>
            </w:r>
          </w:p>
          <w:p>
            <w:r>
              <w:rPr>
                <w:rFonts w:ascii="Calibri" w:hAnsi="Calibri" w:cs="Calibri" w:eastAsia="Calibri"/>
                <w:b w:val="0"/>
                <w:i w:val="0"/>
                <w:sz w:val="18"/>
                <w:szCs w:val="18"/>
              </w:rPr>
              <w:t>PR-STD-017: Technology Resilience and Capacity Standard</w:t>
            </w:r>
          </w:p>
          <w:p>
            <w:r>
              <w:rPr>
                <w:rFonts w:ascii="Calibri" w:hAnsi="Calibri" w:cs="Calibri" w:eastAsia="Calibri"/>
                <w:b w:val="0"/>
                <w:i w:val="0"/>
                <w:sz w:val="18"/>
                <w:szCs w:val="18"/>
              </w:rPr>
              <w:t>RC-PLN-001: Business Continuity Plan (BCP)</w:t>
            </w:r>
          </w:p>
          <w:p>
            <w:r>
              <w:rPr>
                <w:rFonts w:ascii="Calibri" w:hAnsi="Calibri" w:cs="Calibri" w:eastAsia="Calibri"/>
                <w:b w:val="0"/>
                <w:i w:val="0"/>
                <w:sz w:val="18"/>
                <w:szCs w:val="18"/>
              </w:rPr>
              <w:t>RC-PLN-003: Crisis Management Plan</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RC-POL-001  |  Business Continuity Management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