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System Recovery Runbook Template</w:t>
      </w:r>
    </w:p>
    <w:p>
      <w:pPr>
        <w:spacing w:after="80" w:before="0"/>
      </w:pPr>
      <w:r>
        <w:rPr>
          <w:rFonts w:ascii="Calibri" w:hAnsi="Calibri" w:cs="Calibri" w:eastAsia="Calibri"/>
          <w:b w:val="0"/>
          <w:i w:val="0"/>
          <w:color w:val="595959"/>
          <w:sz w:val="18"/>
          <w:szCs w:val="18"/>
        </w:rPr>
        <w:t>RC-PRC-001  |  Procedure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System Recovery Runbook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 and after each test</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May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runbook template gives system-specific, step-by-step recovery instructions that a trained engineer can follow under pressure (RC.RP-02, RC.RP-03, RC.RP-05).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Runbook Header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the system, dependencies, and objectives.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402"/>
        <w:gridCol w:w="5953"/>
      </w:tblGrid>
      <w:tr>
        <w:trPr>
          <w:tblHeader w:val="true"/>
        </w:trPr>
        <w:tc>
          <w:tcPr>
            <w:tcW w:type="dxa" w:w="3402"/>
            <w:shd w:val="clear" w:color="auto" w:fill="1F3864"/>
          </w:tcPr>
          <w:p>
            <w:r/>
            <w:r>
              <w:rPr>
                <w:rFonts w:ascii="Calibri" w:hAnsi="Calibri" w:cs="Calibri" w:eastAsia="Calibri"/>
                <w:b/>
                <w:i w:val="0"/>
                <w:color w:val="FFFFFF"/>
                <w:sz w:val="18"/>
                <w:szCs w:val="18"/>
                <w:bCs/>
              </w:rPr>
              <w:t>Item</w:t>
            </w:r>
          </w:p>
        </w:tc>
        <w:tc>
          <w:tcPr>
            <w:tcW w:type="dxa" w:w="5953"/>
            <w:shd w:val="clear" w:color="auto" w:fill="1F3864"/>
          </w:tcPr>
          <w:p>
            <w:r/>
            <w:r>
              <w:rPr>
                <w:rFonts w:ascii="Calibri" w:hAnsi="Calibri" w:cs="Calibri" w:eastAsia="Calibri"/>
                <w:b/>
                <w:i w:val="0"/>
                <w:color w:val="FFFFFF"/>
                <w:sz w:val="18"/>
                <w:szCs w:val="18"/>
                <w:bCs/>
              </w:rPr>
              <w:t>Content (HIS runbook)</w:t>
            </w:r>
          </w:p>
        </w:tc>
      </w:tr>
      <w:tr>
        <w:tc>
          <w:tcPr>
            <w:tcW w:type="dxa" w:w="3402"/>
          </w:tcPr>
          <w:p>
            <w:r/>
            <w:r>
              <w:rPr>
                <w:rFonts w:ascii="Calibri" w:hAnsi="Calibri" w:cs="Calibri" w:eastAsia="Calibri"/>
                <w:b w:val="0"/>
                <w:i w:val="0"/>
                <w:sz w:val="18"/>
                <w:szCs w:val="18"/>
              </w:rPr>
              <w:t>System and owner</w:t>
            </w:r>
          </w:p>
        </w:tc>
        <w:tc>
          <w:tcPr>
            <w:tcW w:type="dxa" w:w="5953"/>
          </w:tcPr>
          <w:p>
            <w:r/>
            <w:r>
              <w:rPr>
                <w:rFonts w:ascii="Calibri" w:hAnsi="Calibri" w:cs="Calibri" w:eastAsia="Calibri"/>
                <w:b w:val="0"/>
                <w:i w:val="0"/>
                <w:sz w:val="18"/>
                <w:szCs w:val="18"/>
              </w:rPr>
              <w:t>HIS; CIO with Medical Director</w:t>
            </w:r>
          </w:p>
        </w:tc>
      </w:tr>
      <w:tr>
        <w:tc>
          <w:tcPr>
            <w:tcW w:type="dxa" w:w="3402"/>
          </w:tcPr>
          <w:p>
            <w:r/>
            <w:r>
              <w:rPr>
                <w:rFonts w:ascii="Calibri" w:hAnsi="Calibri" w:cs="Calibri" w:eastAsia="Calibri"/>
                <w:b w:val="0"/>
                <w:i w:val="0"/>
                <w:sz w:val="18"/>
                <w:szCs w:val="18"/>
              </w:rPr>
              <w:t>RTO and RPO</w:t>
            </w:r>
          </w:p>
        </w:tc>
        <w:tc>
          <w:tcPr>
            <w:tcW w:type="dxa" w:w="5953"/>
          </w:tcPr>
          <w:p>
            <w:r/>
            <w:r>
              <w:rPr>
                <w:rFonts w:ascii="Calibri" w:hAnsi="Calibri" w:cs="Calibri" w:eastAsia="Calibri"/>
                <w:b w:val="0"/>
                <w:i w:val="0"/>
                <w:sz w:val="18"/>
                <w:szCs w:val="18"/>
              </w:rPr>
              <w:t>4 hours; 15 minutes</w:t>
            </w:r>
          </w:p>
        </w:tc>
      </w:tr>
      <w:tr>
        <w:tc>
          <w:tcPr>
            <w:tcW w:type="dxa" w:w="3402"/>
          </w:tcPr>
          <w:p>
            <w:r/>
            <w:r>
              <w:rPr>
                <w:rFonts w:ascii="Calibri" w:hAnsi="Calibri" w:cs="Calibri" w:eastAsia="Calibri"/>
                <w:b w:val="0"/>
                <w:i w:val="0"/>
                <w:sz w:val="18"/>
                <w:szCs w:val="18"/>
              </w:rPr>
              <w:t>Dependencies</w:t>
            </w:r>
          </w:p>
        </w:tc>
        <w:tc>
          <w:tcPr>
            <w:tcW w:type="dxa" w:w="5953"/>
          </w:tcPr>
          <w:p>
            <w:r/>
            <w:r>
              <w:rPr>
                <w:rFonts w:ascii="Calibri" w:hAnsi="Calibri" w:cs="Calibri" w:eastAsia="Calibri"/>
                <w:b w:val="0"/>
                <w:i w:val="0"/>
                <w:sz w:val="18"/>
                <w:szCs w:val="18"/>
              </w:rPr>
              <w:t>Core network, Active Directory, DNS, database cluster, interface engine</w:t>
            </w:r>
          </w:p>
        </w:tc>
      </w:tr>
      <w:tr>
        <w:tc>
          <w:tcPr>
            <w:tcW w:type="dxa" w:w="3402"/>
          </w:tcPr>
          <w:p>
            <w:r/>
            <w:r>
              <w:rPr>
                <w:rFonts w:ascii="Calibri" w:hAnsi="Calibri" w:cs="Calibri" w:eastAsia="Calibri"/>
                <w:b w:val="0"/>
                <w:i w:val="0"/>
                <w:sz w:val="18"/>
                <w:szCs w:val="18"/>
              </w:rPr>
              <w:t>Backup location</w:t>
            </w:r>
          </w:p>
        </w:tc>
        <w:tc>
          <w:tcPr>
            <w:tcW w:type="dxa" w:w="5953"/>
          </w:tcPr>
          <w:p>
            <w:r/>
            <w:r>
              <w:rPr>
                <w:rFonts w:ascii="Calibri" w:hAnsi="Calibri" w:cs="Calibri" w:eastAsia="Calibri"/>
                <w:b w:val="0"/>
                <w:i w:val="0"/>
                <w:sz w:val="18"/>
                <w:szCs w:val="18"/>
              </w:rPr>
              <w:t>Immutable repository at Riverside; replica at Nonthaburi DR site; weekly offline copy</w:t>
            </w:r>
          </w:p>
        </w:tc>
      </w:tr>
      <w:tr>
        <w:tc>
          <w:tcPr>
            <w:tcW w:type="dxa" w:w="3402"/>
          </w:tcPr>
          <w:p>
            <w:r/>
            <w:r>
              <w:rPr>
                <w:rFonts w:ascii="Calibri" w:hAnsi="Calibri" w:cs="Calibri" w:eastAsia="Calibri"/>
                <w:b w:val="0"/>
                <w:i w:val="0"/>
                <w:sz w:val="18"/>
                <w:szCs w:val="18"/>
              </w:rPr>
              <w:t>Credentials</w:t>
            </w:r>
          </w:p>
        </w:tc>
        <w:tc>
          <w:tcPr>
            <w:tcW w:type="dxa" w:w="5953"/>
          </w:tcPr>
          <w:p>
            <w:r/>
            <w:r>
              <w:rPr>
                <w:rFonts w:ascii="Calibri" w:hAnsi="Calibri" w:cs="Calibri" w:eastAsia="Calibri"/>
                <w:b w:val="0"/>
                <w:i w:val="0"/>
                <w:sz w:val="18"/>
                <w:szCs w:val="18"/>
              </w:rPr>
              <w:t>PAM vault entries HIS-DB-ADM and HIS-APP-ADM; sealed break-glass envelope</w:t>
            </w:r>
          </w:p>
        </w:tc>
      </w:tr>
      <w:tr>
        <w:tc>
          <w:tcPr>
            <w:tcW w:type="dxa" w:w="3402"/>
          </w:tcPr>
          <w:p>
            <w:r/>
            <w:r>
              <w:rPr>
                <w:rFonts w:ascii="Calibri" w:hAnsi="Calibri" w:cs="Calibri" w:eastAsia="Calibri"/>
                <w:b w:val="0"/>
                <w:i w:val="0"/>
                <w:sz w:val="18"/>
                <w:szCs w:val="18"/>
              </w:rPr>
              <w:t>Vendor support</w:t>
            </w:r>
          </w:p>
        </w:tc>
        <w:tc>
          <w:tcPr>
            <w:tcW w:type="dxa" w:w="5953"/>
          </w:tcPr>
          <w:p>
            <w:r/>
            <w:r>
              <w:rPr>
                <w:rFonts w:ascii="Calibri" w:hAnsi="Calibri" w:cs="Calibri" w:eastAsia="Calibri"/>
                <w:b w:val="0"/>
                <w:i w:val="0"/>
                <w:sz w:val="18"/>
                <w:szCs w:val="18"/>
              </w:rPr>
              <w:t>HIS Vendor A critical line (RS-REG-002)</w:t>
            </w:r>
          </w:p>
        </w:tc>
      </w:tr>
    </w:tbl>
    <w:p>
      <w:pPr>
        <w:spacing w:after="40"/>
      </w:pPr>
    </w:p>
    <w:p>
      <w:pPr>
        <w:pStyle w:val="Heading2"/>
        <w:keepNext/>
        <w:spacing w:before="120" w:after="80"/>
      </w:pPr>
      <w:r>
        <w:rPr>
          <w:rFonts w:ascii="Calibri" w:hAnsi="Calibri" w:cs="Calibri" w:eastAsia="Calibri"/>
          <w:b/>
          <w:i w:val="0"/>
          <w:color w:val="1F3864"/>
          <w:sz w:val="24"/>
          <w:szCs w:val="24"/>
          <w:bCs/>
        </w:rPr>
        <w:t>4.4 Recovery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Write numbered steps with expected results and checks.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3855"/>
        <w:gridCol w:w="2551"/>
        <w:gridCol w:w="2268"/>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3855"/>
            <w:shd w:val="clear" w:color="auto" w:fill="1F3864"/>
          </w:tcPr>
          <w:p>
            <w:r/>
            <w:r>
              <w:rPr>
                <w:rFonts w:ascii="Calibri" w:hAnsi="Calibri" w:cs="Calibri" w:eastAsia="Calibri"/>
                <w:b/>
                <w:i w:val="0"/>
                <w:color w:val="FFFFFF"/>
                <w:sz w:val="18"/>
                <w:szCs w:val="18"/>
                <w:bCs/>
              </w:rPr>
              <w:t>Action</w:t>
            </w:r>
          </w:p>
        </w:tc>
        <w:tc>
          <w:tcPr>
            <w:tcW w:type="dxa" w:w="2551"/>
            <w:shd w:val="clear" w:color="auto" w:fill="1F3864"/>
          </w:tcPr>
          <w:p>
            <w:r/>
            <w:r>
              <w:rPr>
                <w:rFonts w:ascii="Calibri" w:hAnsi="Calibri" w:cs="Calibri" w:eastAsia="Calibri"/>
                <w:b/>
                <w:i w:val="0"/>
                <w:color w:val="FFFFFF"/>
                <w:sz w:val="18"/>
                <w:szCs w:val="18"/>
                <w:bCs/>
              </w:rPr>
              <w:t>Expected result</w:t>
            </w:r>
          </w:p>
        </w:tc>
        <w:tc>
          <w:tcPr>
            <w:tcW w:type="dxa" w:w="2268"/>
            <w:shd w:val="clear" w:color="auto" w:fill="1F3864"/>
          </w:tcPr>
          <w:p>
            <w:r/>
            <w:r>
              <w:rPr>
                <w:rFonts w:ascii="Calibri" w:hAnsi="Calibri" w:cs="Calibri" w:eastAsia="Calibri"/>
                <w:b/>
                <w:i w:val="0"/>
                <w:color w:val="FFFFFF"/>
                <w:sz w:val="18"/>
                <w:szCs w:val="18"/>
                <w:bCs/>
              </w:rPr>
              <w:t>Check</w:t>
            </w:r>
          </w:p>
        </w:tc>
      </w:tr>
      <w:tr>
        <w:tc>
          <w:tcPr>
            <w:tcW w:type="dxa" w:w="680"/>
          </w:tcPr>
          <w:p>
            <w:r/>
            <w:r>
              <w:rPr>
                <w:rFonts w:ascii="Calibri" w:hAnsi="Calibri" w:cs="Calibri" w:eastAsia="Calibri"/>
                <w:b w:val="0"/>
                <w:i w:val="0"/>
                <w:sz w:val="18"/>
                <w:szCs w:val="18"/>
              </w:rPr>
              <w:t>1</w:t>
            </w:r>
          </w:p>
        </w:tc>
        <w:tc>
          <w:tcPr>
            <w:tcW w:type="dxa" w:w="3855"/>
          </w:tcPr>
          <w:p>
            <w:r/>
            <w:r>
              <w:rPr>
                <w:rFonts w:ascii="Calibri" w:hAnsi="Calibri" w:cs="Calibri" w:eastAsia="Calibri"/>
                <w:b w:val="0"/>
                <w:i w:val="0"/>
                <w:sz w:val="18"/>
                <w:szCs w:val="18"/>
              </w:rPr>
              <w:t>Confirm network, AD, and DNS are up at the DR site</w:t>
            </w:r>
          </w:p>
        </w:tc>
        <w:tc>
          <w:tcPr>
            <w:tcW w:type="dxa" w:w="2551"/>
          </w:tcPr>
          <w:p>
            <w:r/>
            <w:r>
              <w:rPr>
                <w:rFonts w:ascii="Calibri" w:hAnsi="Calibri" w:cs="Calibri" w:eastAsia="Calibri"/>
                <w:b w:val="0"/>
                <w:i w:val="0"/>
                <w:sz w:val="18"/>
                <w:szCs w:val="18"/>
              </w:rPr>
              <w:t>Domain logon works</w:t>
            </w:r>
          </w:p>
        </w:tc>
        <w:tc>
          <w:tcPr>
            <w:tcW w:type="dxa" w:w="2268"/>
          </w:tcPr>
          <w:p>
            <w:r/>
            <w:r>
              <w:rPr>
                <w:rFonts w:ascii="Calibri" w:hAnsi="Calibri" w:cs="Calibri" w:eastAsia="Calibri"/>
                <w:b w:val="0"/>
                <w:i w:val="0"/>
                <w:sz w:val="18"/>
                <w:szCs w:val="18"/>
              </w:rPr>
              <w:t>Test account logon</w:t>
            </w:r>
          </w:p>
        </w:tc>
      </w:tr>
      <w:tr>
        <w:tc>
          <w:tcPr>
            <w:tcW w:type="dxa" w:w="680"/>
          </w:tcPr>
          <w:p>
            <w:r/>
            <w:r>
              <w:rPr>
                <w:rFonts w:ascii="Calibri" w:hAnsi="Calibri" w:cs="Calibri" w:eastAsia="Calibri"/>
                <w:b w:val="0"/>
                <w:i w:val="0"/>
                <w:sz w:val="18"/>
                <w:szCs w:val="18"/>
              </w:rPr>
              <w:t>2</w:t>
            </w:r>
          </w:p>
        </w:tc>
        <w:tc>
          <w:tcPr>
            <w:tcW w:type="dxa" w:w="3855"/>
          </w:tcPr>
          <w:p>
            <w:r/>
            <w:r>
              <w:rPr>
                <w:rFonts w:ascii="Calibri" w:hAnsi="Calibri" w:cs="Calibri" w:eastAsia="Calibri"/>
                <w:b w:val="0"/>
                <w:i w:val="0"/>
                <w:sz w:val="18"/>
                <w:szCs w:val="18"/>
              </w:rPr>
              <w:t>Select restore point; verify checksum and scan in isolated network</w:t>
            </w:r>
          </w:p>
        </w:tc>
        <w:tc>
          <w:tcPr>
            <w:tcW w:type="dxa" w:w="2551"/>
          </w:tcPr>
          <w:p>
            <w:r/>
            <w:r>
              <w:rPr>
                <w:rFonts w:ascii="Calibri" w:hAnsi="Calibri" w:cs="Calibri" w:eastAsia="Calibri"/>
                <w:b w:val="0"/>
                <w:i w:val="0"/>
                <w:sz w:val="18"/>
                <w:szCs w:val="18"/>
              </w:rPr>
              <w:t>Clean restore point</w:t>
            </w:r>
          </w:p>
        </w:tc>
        <w:tc>
          <w:tcPr>
            <w:tcW w:type="dxa" w:w="2268"/>
          </w:tcPr>
          <w:p>
            <w:r/>
            <w:r>
              <w:rPr>
                <w:rFonts w:ascii="Calibri" w:hAnsi="Calibri" w:cs="Calibri" w:eastAsia="Calibri"/>
                <w:b w:val="0"/>
                <w:i w:val="0"/>
                <w:sz w:val="18"/>
                <w:szCs w:val="18"/>
              </w:rPr>
              <w:t>Security Engineer sign-off</w:t>
            </w:r>
          </w:p>
        </w:tc>
      </w:tr>
      <w:tr>
        <w:tc>
          <w:tcPr>
            <w:tcW w:type="dxa" w:w="680"/>
          </w:tcPr>
          <w:p>
            <w:r/>
            <w:r>
              <w:rPr>
                <w:rFonts w:ascii="Calibri" w:hAnsi="Calibri" w:cs="Calibri" w:eastAsia="Calibri"/>
                <w:b w:val="0"/>
                <w:i w:val="0"/>
                <w:sz w:val="18"/>
                <w:szCs w:val="18"/>
              </w:rPr>
              <w:t>3</w:t>
            </w:r>
          </w:p>
        </w:tc>
        <w:tc>
          <w:tcPr>
            <w:tcW w:type="dxa" w:w="3855"/>
          </w:tcPr>
          <w:p>
            <w:r/>
            <w:r>
              <w:rPr>
                <w:rFonts w:ascii="Calibri" w:hAnsi="Calibri" w:cs="Calibri" w:eastAsia="Calibri"/>
                <w:b w:val="0"/>
                <w:i w:val="0"/>
                <w:sz w:val="18"/>
                <w:szCs w:val="18"/>
              </w:rPr>
              <w:t>Restore or promote the HIS database replica</w:t>
            </w:r>
          </w:p>
        </w:tc>
        <w:tc>
          <w:tcPr>
            <w:tcW w:type="dxa" w:w="2551"/>
          </w:tcPr>
          <w:p>
            <w:r/>
            <w:r>
              <w:rPr>
                <w:rFonts w:ascii="Calibri" w:hAnsi="Calibri" w:cs="Calibri" w:eastAsia="Calibri"/>
                <w:b w:val="0"/>
                <w:i w:val="0"/>
                <w:sz w:val="18"/>
                <w:szCs w:val="18"/>
              </w:rPr>
              <w:t>Database online, consistent</w:t>
            </w:r>
          </w:p>
        </w:tc>
        <w:tc>
          <w:tcPr>
            <w:tcW w:type="dxa" w:w="2268"/>
          </w:tcPr>
          <w:p>
            <w:r/>
            <w:r>
              <w:rPr>
                <w:rFonts w:ascii="Calibri" w:hAnsi="Calibri" w:cs="Calibri" w:eastAsia="Calibri"/>
                <w:b w:val="0"/>
                <w:i w:val="0"/>
                <w:sz w:val="18"/>
                <w:szCs w:val="18"/>
              </w:rPr>
              <w:t>Database integrity check</w:t>
            </w:r>
          </w:p>
        </w:tc>
      </w:tr>
      <w:tr>
        <w:tc>
          <w:tcPr>
            <w:tcW w:type="dxa" w:w="680"/>
          </w:tcPr>
          <w:p>
            <w:r/>
            <w:r>
              <w:rPr>
                <w:rFonts w:ascii="Calibri" w:hAnsi="Calibri" w:cs="Calibri" w:eastAsia="Calibri"/>
                <w:b w:val="0"/>
                <w:i w:val="0"/>
                <w:sz w:val="18"/>
                <w:szCs w:val="18"/>
              </w:rPr>
              <w:t>4</w:t>
            </w:r>
          </w:p>
        </w:tc>
        <w:tc>
          <w:tcPr>
            <w:tcW w:type="dxa" w:w="3855"/>
          </w:tcPr>
          <w:p>
            <w:r/>
            <w:r>
              <w:rPr>
                <w:rFonts w:ascii="Calibri" w:hAnsi="Calibri" w:cs="Calibri" w:eastAsia="Calibri"/>
                <w:b w:val="0"/>
                <w:i w:val="0"/>
                <w:sz w:val="18"/>
                <w:szCs w:val="18"/>
              </w:rPr>
              <w:t>Start HIS application servers; update DNS alias</w:t>
            </w:r>
          </w:p>
        </w:tc>
        <w:tc>
          <w:tcPr>
            <w:tcW w:type="dxa" w:w="2551"/>
          </w:tcPr>
          <w:p>
            <w:r/>
            <w:r>
              <w:rPr>
                <w:rFonts w:ascii="Calibri" w:hAnsi="Calibri" w:cs="Calibri" w:eastAsia="Calibri"/>
                <w:b w:val="0"/>
                <w:i w:val="0"/>
                <w:sz w:val="18"/>
                <w:szCs w:val="18"/>
              </w:rPr>
              <w:t>Application responds</w:t>
            </w:r>
          </w:p>
        </w:tc>
        <w:tc>
          <w:tcPr>
            <w:tcW w:type="dxa" w:w="2268"/>
          </w:tcPr>
          <w:p>
            <w:r/>
            <w:r>
              <w:rPr>
                <w:rFonts w:ascii="Calibri" w:hAnsi="Calibri" w:cs="Calibri" w:eastAsia="Calibri"/>
                <w:b w:val="0"/>
                <w:i w:val="0"/>
                <w:sz w:val="18"/>
                <w:szCs w:val="18"/>
              </w:rPr>
              <w:t>Login page loads</w:t>
            </w:r>
          </w:p>
        </w:tc>
      </w:tr>
      <w:tr>
        <w:tc>
          <w:tcPr>
            <w:tcW w:type="dxa" w:w="680"/>
          </w:tcPr>
          <w:p>
            <w:r/>
            <w:r>
              <w:rPr>
                <w:rFonts w:ascii="Calibri" w:hAnsi="Calibri" w:cs="Calibri" w:eastAsia="Calibri"/>
                <w:b w:val="0"/>
                <w:i w:val="0"/>
                <w:sz w:val="18"/>
                <w:szCs w:val="18"/>
              </w:rPr>
              <w:t>5</w:t>
            </w:r>
          </w:p>
        </w:tc>
        <w:tc>
          <w:tcPr>
            <w:tcW w:type="dxa" w:w="3855"/>
          </w:tcPr>
          <w:p>
            <w:r/>
            <w:r>
              <w:rPr>
                <w:rFonts w:ascii="Calibri" w:hAnsi="Calibri" w:cs="Calibri" w:eastAsia="Calibri"/>
                <w:b w:val="0"/>
                <w:i w:val="0"/>
                <w:sz w:val="18"/>
                <w:szCs w:val="18"/>
              </w:rPr>
              <w:t>Start the interface engine; replay queued messages</w:t>
            </w:r>
          </w:p>
        </w:tc>
        <w:tc>
          <w:tcPr>
            <w:tcW w:type="dxa" w:w="2551"/>
          </w:tcPr>
          <w:p>
            <w:r/>
            <w:r>
              <w:rPr>
                <w:rFonts w:ascii="Calibri" w:hAnsi="Calibri" w:cs="Calibri" w:eastAsia="Calibri"/>
                <w:b w:val="0"/>
                <w:i w:val="0"/>
                <w:sz w:val="18"/>
                <w:szCs w:val="18"/>
              </w:rPr>
              <w:t>PACS and LIS orders flow</w:t>
            </w:r>
          </w:p>
        </w:tc>
        <w:tc>
          <w:tcPr>
            <w:tcW w:type="dxa" w:w="2268"/>
          </w:tcPr>
          <w:p>
            <w:r/>
            <w:r>
              <w:rPr>
                <w:rFonts w:ascii="Calibri" w:hAnsi="Calibri" w:cs="Calibri" w:eastAsia="Calibri"/>
                <w:b w:val="0"/>
                <w:i w:val="0"/>
                <w:sz w:val="18"/>
                <w:szCs w:val="18"/>
              </w:rPr>
              <w:t>Test order end to end</w:t>
            </w:r>
          </w:p>
        </w:tc>
      </w:tr>
      <w:tr>
        <w:tc>
          <w:tcPr>
            <w:tcW w:type="dxa" w:w="680"/>
          </w:tcPr>
          <w:p>
            <w:r/>
            <w:r>
              <w:rPr>
                <w:rFonts w:ascii="Calibri" w:hAnsi="Calibri" w:cs="Calibri" w:eastAsia="Calibri"/>
                <w:b w:val="0"/>
                <w:i w:val="0"/>
                <w:sz w:val="18"/>
                <w:szCs w:val="18"/>
              </w:rPr>
              <w:t>6</w:t>
            </w:r>
          </w:p>
        </w:tc>
        <w:tc>
          <w:tcPr>
            <w:tcW w:type="dxa" w:w="3855"/>
          </w:tcPr>
          <w:p>
            <w:r/>
            <w:r>
              <w:rPr>
                <w:rFonts w:ascii="Calibri" w:hAnsi="Calibri" w:cs="Calibri" w:eastAsia="Calibri"/>
                <w:b w:val="0"/>
                <w:i w:val="0"/>
                <w:sz w:val="18"/>
                <w:szCs w:val="18"/>
              </w:rPr>
              <w:t>Clinical validation with super-users on two wards</w:t>
            </w:r>
          </w:p>
        </w:tc>
        <w:tc>
          <w:tcPr>
            <w:tcW w:type="dxa" w:w="2551"/>
          </w:tcPr>
          <w:p>
            <w:r/>
            <w:r>
              <w:rPr>
                <w:rFonts w:ascii="Calibri" w:hAnsi="Calibri" w:cs="Calibri" w:eastAsia="Calibri"/>
                <w:b w:val="0"/>
                <w:i w:val="0"/>
                <w:sz w:val="18"/>
                <w:szCs w:val="18"/>
              </w:rPr>
              <w:t>Patient records correct</w:t>
            </w:r>
          </w:p>
        </w:tc>
        <w:tc>
          <w:tcPr>
            <w:tcW w:type="dxa" w:w="2268"/>
          </w:tcPr>
          <w:p>
            <w:r/>
            <w:r>
              <w:rPr>
                <w:rFonts w:ascii="Calibri" w:hAnsi="Calibri" w:cs="Calibri" w:eastAsia="Calibri"/>
                <w:b w:val="0"/>
                <w:i w:val="0"/>
                <w:sz w:val="18"/>
                <w:szCs w:val="18"/>
              </w:rPr>
              <w:t>HIS analyst checklist</w:t>
            </w:r>
          </w:p>
        </w:tc>
      </w:tr>
      <w:tr>
        <w:tc>
          <w:tcPr>
            <w:tcW w:type="dxa" w:w="680"/>
          </w:tcPr>
          <w:p>
            <w:r/>
            <w:r>
              <w:rPr>
                <w:rFonts w:ascii="Calibri" w:hAnsi="Calibri" w:cs="Calibri" w:eastAsia="Calibri"/>
                <w:b w:val="0"/>
                <w:i w:val="0"/>
                <w:sz w:val="18"/>
                <w:szCs w:val="18"/>
              </w:rPr>
              <w:t>7</w:t>
            </w:r>
          </w:p>
        </w:tc>
        <w:tc>
          <w:tcPr>
            <w:tcW w:type="dxa" w:w="3855"/>
          </w:tcPr>
          <w:p>
            <w:r/>
            <w:r>
              <w:rPr>
                <w:rFonts w:ascii="Calibri" w:hAnsi="Calibri" w:cs="Calibri" w:eastAsia="Calibri"/>
                <w:b w:val="0"/>
                <w:i w:val="0"/>
                <w:sz w:val="18"/>
                <w:szCs w:val="18"/>
              </w:rPr>
              <w:t>Release to users; monitor for 24 hours</w:t>
            </w:r>
          </w:p>
        </w:tc>
        <w:tc>
          <w:tcPr>
            <w:tcW w:type="dxa" w:w="2551"/>
          </w:tcPr>
          <w:p>
            <w:r/>
            <w:r>
              <w:rPr>
                <w:rFonts w:ascii="Calibri" w:hAnsi="Calibri" w:cs="Calibri" w:eastAsia="Calibri"/>
                <w:b w:val="0"/>
                <w:i w:val="0"/>
                <w:sz w:val="18"/>
                <w:szCs w:val="18"/>
              </w:rPr>
              <w:t>Normal operation</w:t>
            </w:r>
          </w:p>
        </w:tc>
        <w:tc>
          <w:tcPr>
            <w:tcW w:type="dxa" w:w="2268"/>
          </w:tcPr>
          <w:p>
            <w:r/>
            <w:r>
              <w:rPr>
                <w:rFonts w:ascii="Calibri" w:hAnsi="Calibri" w:cs="Calibri" w:eastAsia="Calibri"/>
                <w:b w:val="0"/>
                <w:i w:val="0"/>
                <w:sz w:val="18"/>
                <w:szCs w:val="18"/>
              </w:rPr>
              <w:t>MSSP heightened monitoring</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Have someone other than the author run the runbook in tests.</w:t>
      </w:r>
    </w:p>
    <w:p>
      <w:pPr>
        <w:pStyle w:val="ListBullet"/>
        <w:spacing w:after="40"/>
      </w:pPr>
      <w:r>
        <w:rPr>
          <w:rFonts w:ascii="Calibri" w:hAnsi="Calibri" w:cs="Calibri" w:eastAsia="Calibri"/>
          <w:b w:val="0"/>
          <w:i w:val="0"/>
          <w:sz w:val="21"/>
          <w:szCs w:val="21"/>
        </w:rPr>
        <w:t>Include screenshots and exact commands for complex steps.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Runbooks that say 'restore the server' without the steps, credentials, or order.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RC.RP-02: Recovery actions are selected, scoped, prioritized, and performed</w:t>
            </w:r>
          </w:p>
          <w:p>
            <w:r>
              <w:rPr>
                <w:rFonts w:ascii="Calibri" w:hAnsi="Calibri" w:cs="Calibri" w:eastAsia="Calibri"/>
                <w:b w:val="0"/>
                <w:i w:val="0"/>
                <w:sz w:val="18"/>
                <w:szCs w:val="18"/>
              </w:rPr>
              <w:t>RC.RP-03: The integrity of backups and other restoration assets is verified before using them for restoration</w:t>
            </w:r>
          </w:p>
          <w:p>
            <w:r>
              <w:rPr>
                <w:rFonts w:ascii="Calibri" w:hAnsi="Calibri" w:cs="Calibri" w:eastAsia="Calibri"/>
                <w:b w:val="0"/>
                <w:i w:val="0"/>
                <w:sz w:val="18"/>
                <w:szCs w:val="18"/>
              </w:rPr>
              <w:t>RC.RP-05: The integrity of restored assets is verified, systems and services are restored, and normal operating status is confirmed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A.5.30, Annex A.5.37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RC-PLN-002: IT Disaster Recovery Plan (DRP)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RC-PRC-001  |  System Recovery Runbook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