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fr-FR"/>
        </w:rPr>
        <w:t xml:space="preserve">Bibliographie</w:t>
      </w:r>
    </w:p>
    <w:p>
      <w:pPr>
        <w:pStyle w:val="Subtitle"/>
      </w:pPr>
      <w:r>
        <w:rPr>
          <w:lang w:val="fr-FR"/>
        </w:rPr>
        <w:t xml:space="preserve">Projet FYC 2026-2027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-FR"/>
            </w:rPr>
            <w:t xml:space="preserve">Sommaire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ouvrages"/>
    <w:p>
      <w:pPr>
        <w:pStyle w:val="Heading1"/>
      </w:pPr>
      <w:r>
        <w:rPr>
          <w:rStyle w:val="SectionNumber"/>
          <w:lang w:val="fr-FR"/>
        </w:rPr>
        <w:t xml:space="preserve">1</w:t>
      </w:r>
      <w:r>
        <w:tab/>
      </w:r>
      <w:r>
        <w:rPr>
          <w:lang w:val="fr-FR"/>
        </w:rPr>
        <w:t xml:space="preserve">Ouvrages</w:t>
      </w:r>
    </w:p>
    <w:p>
      <w:pPr>
        <w:pStyle w:val="Compact"/>
        <w:numPr>
          <w:ilvl w:val="0"/>
          <w:numId w:val="1001"/>
        </w:numPr>
      </w:pPr>
      <w:r>
        <w:rPr>
          <w:lang w:val="fr-FR"/>
        </w:rPr>
        <w:t xml:space="preserve">Nygard M. (2018),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Release It! Design and Deploy Production-Ready Software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2e édition, Raleigh, Pragmatic Bookshelf. [S3.1]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Coupe-circuit, bulkhead, timeouts : les bases de la résilience.</w:t>
      </w:r>
    </w:p>
    <w:bookmarkEnd w:id="9"/>
    <w:bookmarkStart w:id="14" w:name="publications-scientifiques"/>
    <w:p>
      <w:pPr>
        <w:pStyle w:val="Heading1"/>
      </w:pPr>
      <w:r>
        <w:rPr>
          <w:rStyle w:val="SectionNumber"/>
          <w:lang w:val="fr-FR"/>
        </w:rPr>
        <w:t xml:space="preserve">2</w:t>
      </w:r>
      <w:r>
        <w:tab/>
      </w:r>
      <w:r>
        <w:rPr>
          <w:lang w:val="fr-FR"/>
        </w:rPr>
        <w:t xml:space="preserve">Publications scientifiques</w:t>
      </w:r>
    </w:p>
    <w:bookmarkStart w:id="10" w:name="évaluation-des-llm-et-des-pipelines-rag"/>
    <w:p>
      <w:pPr>
        <w:pStyle w:val="Heading2"/>
      </w:pPr>
      <w:r>
        <w:rPr>
          <w:rStyle w:val="SectionNumber"/>
          <w:lang w:val="fr-FR"/>
        </w:rPr>
        <w:t xml:space="preserve">2.1</w:t>
      </w:r>
      <w:r>
        <w:tab/>
      </w:r>
      <w:r>
        <w:rPr>
          <w:lang w:val="fr-FR"/>
        </w:rPr>
        <w:t xml:space="preserve">Évaluation des LLM et des pipelines RAG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Zheng L., Chiang W.-L., Sheng Y., Zhuang S., Wu Z., Zhuang Y., Lin Z., Li Z.,</w:t>
      </w:r>
      <w:r>
        <w:rPr>
          <w:lang w:val="fr-FR"/>
        </w:rPr>
        <w:t xml:space="preserve"> </w:t>
      </w:r>
      <w:r>
        <w:rPr>
          <w:lang w:val="fr-FR"/>
        </w:rPr>
        <w:t xml:space="preserve">Li D., Xing E.P., Zhang H., Gonzalez J.E. et Stoica I. (2023), Judging</w:t>
      </w:r>
      <w:r>
        <w:rPr>
          <w:lang w:val="fr-FR"/>
        </w:rPr>
        <w:t xml:space="preserve"> </w:t>
      </w:r>
      <w:r>
        <w:rPr>
          <w:lang w:val="fr-FR"/>
        </w:rPr>
        <w:t xml:space="preserve">LLM-as-a-Judge with MT-Bench and Chatbot Arena, in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Advances in Neural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Information Processing Systems 36 (NeurIPS 2023)</w:t>
      </w:r>
      <w:r>
        <w:rPr>
          <w:lang w:val="fr-FR"/>
        </w:rPr>
        <w:t xml:space="preserve">, 46595-46623. [S4.1]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Protocole de référence pour faire juger les réponses d’un LLM par un autre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LLM : accord avec le jugement humain, biais connus (position, verbosité,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auto-préférence).</w:t>
      </w:r>
    </w:p>
    <w:p>
      <w:pPr>
        <w:pStyle w:val="Compact"/>
        <w:numPr>
          <w:ilvl w:val="0"/>
          <w:numId w:val="1002"/>
        </w:numPr>
      </w:pPr>
      <w:r>
        <w:rPr>
          <w:lang w:val="fr-FR"/>
        </w:rPr>
        <w:t xml:space="preserve">Es S., James J., Espinosa Anke L. et Schockaert S. (2024), RAGAs: Automated</w:t>
      </w:r>
      <w:r>
        <w:rPr>
          <w:lang w:val="fr-FR"/>
        </w:rPr>
        <w:t xml:space="preserve"> </w:t>
      </w:r>
      <w:r>
        <w:rPr>
          <w:lang w:val="fr-FR"/>
        </w:rPr>
        <w:t xml:space="preserve">Evaluation of Retrieval Augmented Generation, in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Proceedings of the 18th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Conference of the European Chapter of the Association for Computational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Linguistics: System Demonstrations</w:t>
      </w:r>
      <w:r>
        <w:rPr>
          <w:lang w:val="fr-FR"/>
        </w:rPr>
        <w:t xml:space="preserve">, 150-158. [S2.3, S4.1]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Évalue un pipeline RAG (fidélité de la génération, pertinence de la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récupération) sans jeu de réponses de référence.</w:t>
      </w:r>
    </w:p>
    <w:bookmarkEnd w:id="10"/>
    <w:bookmarkStart w:id="11" w:name="le-rag-comme-pipeline-de-données"/>
    <w:p>
      <w:pPr>
        <w:pStyle w:val="Heading2"/>
      </w:pPr>
      <w:r>
        <w:rPr>
          <w:rStyle w:val="SectionNumber"/>
          <w:lang w:val="fr-FR"/>
        </w:rPr>
        <w:t xml:space="preserve">2.2</w:t>
      </w:r>
      <w:r>
        <w:tab/>
      </w:r>
      <w:r>
        <w:rPr>
          <w:lang w:val="fr-FR"/>
        </w:rPr>
        <w:t xml:space="preserve">Le RAG comme pipeline de données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Lewis P., Perez E., Piktus A., Petroni F., Karpukhin V., Goyal N.,</w:t>
      </w:r>
      <w:r>
        <w:rPr>
          <w:lang w:val="fr-FR"/>
        </w:rPr>
        <w:t xml:space="preserve"> </w:t>
      </w:r>
      <w:r>
        <w:rPr>
          <w:lang w:val="fr-FR"/>
        </w:rPr>
        <w:t xml:space="preserve">Küttler H., Lewis M., Yih W., Rocktäschel T., Riedel S. et Kiela D. (2020),</w:t>
      </w:r>
      <w:r>
        <w:rPr>
          <w:lang w:val="fr-FR"/>
        </w:rPr>
        <w:t xml:space="preserve"> </w:t>
      </w:r>
      <w:r>
        <w:rPr>
          <w:lang w:val="fr-FR"/>
        </w:rPr>
        <w:t xml:space="preserve">Retrieval-Augmented Generation for Knowledge-Intensive NLP Tasks, in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Advances in Neural Information Processing Systems 33 (NeurIPS 2020)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9459-9474. [S2.3]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Article fondateur du RAG : combine un modèle de récupération dense et un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générateur pré-entraîné.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Karpukhin V., Oguz B., Min S., Lewis P., Wu L., Edunov S., Chen D. et</w:t>
      </w:r>
      <w:r>
        <w:rPr>
          <w:lang w:val="fr-FR"/>
        </w:rPr>
        <w:t xml:space="preserve"> </w:t>
      </w:r>
      <w:r>
        <w:rPr>
          <w:lang w:val="fr-FR"/>
        </w:rPr>
        <w:t xml:space="preserve">Yih W. (2020), Dense Passage Retrieval for Open-Domain Question Answering,</w:t>
      </w:r>
      <w:r>
        <w:rPr>
          <w:lang w:val="fr-FR"/>
        </w:rPr>
        <w:t xml:space="preserve"> </w:t>
      </w:r>
      <w:r>
        <w:rPr>
          <w:lang w:val="fr-FR"/>
        </w:rPr>
        <w:t xml:space="preserve">in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Proceedings of the 2020 Conference on Empirical Methods in Natural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Language Processing (EMNLP)</w:t>
      </w:r>
      <w:r>
        <w:rPr>
          <w:lang w:val="fr-FR"/>
        </w:rPr>
        <w:t xml:space="preserve">, 6769-6781. [S2.3]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Fondement technique de la recherche par similarité sur des vecteurs denses,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utilisée sur pgvector.</w:t>
      </w:r>
    </w:p>
    <w:p>
      <w:pPr>
        <w:pStyle w:val="Compact"/>
        <w:numPr>
          <w:ilvl w:val="0"/>
          <w:numId w:val="1003"/>
        </w:numPr>
      </w:pPr>
      <w:r>
        <w:rPr>
          <w:lang w:val="fr-FR"/>
        </w:rPr>
        <w:t xml:space="preserve">Gao Y., Xiong Y., Gao X., Jia K., Pan J., Bi Y., Dai Y., Sun J., Wang M. et</w:t>
      </w:r>
      <w:r>
        <w:rPr>
          <w:lang w:val="fr-FR"/>
        </w:rPr>
        <w:t xml:space="preserve"> </w:t>
      </w:r>
      <w:r>
        <w:rPr>
          <w:lang w:val="fr-FR"/>
        </w:rPr>
        <w:t xml:space="preserve">Wang H. (2023), Retrieval-Augmented Generation for Large Language Models:</w:t>
      </w:r>
      <w:r>
        <w:rPr>
          <w:lang w:val="fr-FR"/>
        </w:rPr>
        <w:t xml:space="preserve"> </w:t>
      </w:r>
      <w:r>
        <w:rPr>
          <w:lang w:val="fr-FR"/>
        </w:rPr>
        <w:t xml:space="preserve">A Survey, arXiv:2312.10997. [S2.3]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Panorama des architectures RAG et de leurs limites : qualité de la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récupération, contenu non pertinent ou contradictoire, coût et latence.</w:t>
      </w:r>
    </w:p>
    <w:bookmarkEnd w:id="11"/>
    <w:bookmarkStart w:id="12" w:name="injections-de-prompt"/>
    <w:p>
      <w:pPr>
        <w:pStyle w:val="Heading2"/>
      </w:pPr>
      <w:r>
        <w:rPr>
          <w:rStyle w:val="SectionNumber"/>
          <w:lang w:val="fr-FR"/>
        </w:rPr>
        <w:t xml:space="preserve">2.3</w:t>
      </w:r>
      <w:r>
        <w:tab/>
      </w:r>
      <w:r>
        <w:rPr>
          <w:lang w:val="fr-FR"/>
        </w:rPr>
        <w:t xml:space="preserve">Injections de prompt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Perez F. et Ribeiro I. (2022), Ignore Previous Prompt: Attack Techniques</w:t>
      </w:r>
      <w:r>
        <w:rPr>
          <w:lang w:val="fr-FR"/>
        </w:rPr>
        <w:t xml:space="preserve"> </w:t>
      </w:r>
      <w:r>
        <w:rPr>
          <w:lang w:val="fr-FR"/>
        </w:rPr>
        <w:t xml:space="preserve">For Language Models, in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NeurIPS 2022 ML Safety Workshop</w:t>
      </w:r>
      <w:r>
        <w:rPr>
          <w:lang w:val="fr-FR"/>
        </w:rPr>
        <w:t xml:space="preserve">, arXiv:2211.09527.</w:t>
      </w:r>
      <w:r>
        <w:rPr>
          <w:lang w:val="fr-FR"/>
        </w:rPr>
        <w:t xml:space="preserve"> </w:t>
      </w:r>
      <w:r>
        <w:rPr>
          <w:lang w:val="fr-FR"/>
        </w:rPr>
        <w:t xml:space="preserve">[S4.2]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Démonstration d’origine du détournement d’objectif et de la fuite de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prompt par injection directe.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Greshake K., Abdelnabi S., Mishra S., Endres C., Holz T. et Fritz M. (2023),</w:t>
      </w:r>
      <w:r>
        <w:rPr>
          <w:lang w:val="fr-FR"/>
        </w:rPr>
        <w:t xml:space="preserve"> </w:t>
      </w:r>
      <w:r>
        <w:rPr>
          <w:lang w:val="fr-FR"/>
        </w:rPr>
        <w:t xml:space="preserve">Not what you’ve signed up for: Compromising real-world LLM-integrated</w:t>
      </w:r>
      <w:r>
        <w:rPr>
          <w:lang w:val="fr-FR"/>
        </w:rPr>
        <w:t xml:space="preserve"> </w:t>
      </w:r>
      <w:r>
        <w:rPr>
          <w:lang w:val="fr-FR"/>
        </w:rPr>
        <w:t xml:space="preserve">applications with indirect prompt injection, in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Proceedings of the 16th ACM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Workshop on Artificial Intelligence and Security (AISec ’23)</w:t>
      </w:r>
      <w:r>
        <w:rPr>
          <w:lang w:val="fr-FR"/>
        </w:rPr>
        <w:t xml:space="preserve">, Copenhague,</w:t>
      </w:r>
      <w:r>
        <w:rPr>
          <w:lang w:val="fr-FR"/>
        </w:rPr>
        <w:t xml:space="preserve"> </w:t>
      </w:r>
      <w:r>
        <w:rPr>
          <w:lang w:val="fr-FR"/>
        </w:rPr>
        <w:t xml:space="preserve">ACM, 79-90, https://doi.org/10.1145/3605764.3623985. [S4.2]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Démonstration d’origine de l’injection indirecte via des documents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récupérés.</w:t>
      </w:r>
    </w:p>
    <w:p>
      <w:pPr>
        <w:pStyle w:val="Compact"/>
        <w:numPr>
          <w:ilvl w:val="0"/>
          <w:numId w:val="1004"/>
        </w:numPr>
      </w:pPr>
      <w:r>
        <w:rPr>
          <w:lang w:val="fr-FR"/>
        </w:rPr>
        <w:t xml:space="preserve">Liu Y., Deng G., Li Y., Wang K., Wang Z., Wang X., Zhang T., Liu Y.,</w:t>
      </w:r>
      <w:r>
        <w:rPr>
          <w:lang w:val="fr-FR"/>
        </w:rPr>
        <w:t xml:space="preserve"> </w:t>
      </w:r>
      <w:r>
        <w:rPr>
          <w:lang w:val="fr-FR"/>
        </w:rPr>
        <w:t xml:space="preserve">Wang H., Zheng Y. et Liu Y. (2023), Prompt Injection attack against</w:t>
      </w:r>
      <w:r>
        <w:rPr>
          <w:lang w:val="fr-FR"/>
        </w:rPr>
        <w:t xml:space="preserve"> </w:t>
      </w:r>
      <w:r>
        <w:rPr>
          <w:lang w:val="fr-FR"/>
        </w:rPr>
        <w:t xml:space="preserve">LLM-integrated Applications, arXiv:2306.05499. [S4.2]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Étude empirique sur 36 applications réelles intégrant un LLM : 31 se sont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révélées vulnérables à l’injection de prompt.</w:t>
      </w:r>
    </w:p>
    <w:bookmarkEnd w:id="12"/>
    <w:bookmarkStart w:id="13" w:name="X845eb6d91bda8bed5a740054abbcd7bd8025539"/>
    <w:p>
      <w:pPr>
        <w:pStyle w:val="Heading2"/>
      </w:pPr>
      <w:r>
        <w:rPr>
          <w:rStyle w:val="SectionNumber"/>
          <w:lang w:val="fr-FR"/>
        </w:rPr>
        <w:t xml:space="preserve">2.4</w:t>
      </w:r>
      <w:r>
        <w:tab/>
      </w:r>
      <w:r>
        <w:rPr>
          <w:lang w:val="fr-FR"/>
        </w:rPr>
        <w:t xml:space="preserve">Tests de systèmes probabilistes / non déterministes</w:t>
      </w:r>
    </w:p>
    <w:p>
      <w:pPr>
        <w:pStyle w:val="Compact"/>
        <w:numPr>
          <w:ilvl w:val="0"/>
          <w:numId w:val="1005"/>
        </w:numPr>
      </w:pPr>
      <w:r>
        <w:rPr>
          <w:lang w:val="fr-FR"/>
        </w:rPr>
        <w:t xml:space="preserve">Zhang J.M., Harman M., Ma L. et Liu Y. (2022), Machine Learning Testing:</w:t>
      </w:r>
      <w:r>
        <w:rPr>
          <w:lang w:val="fr-FR"/>
        </w:rPr>
        <w:t xml:space="preserve"> </w:t>
      </w:r>
      <w:r>
        <w:rPr>
          <w:lang w:val="fr-FR"/>
        </w:rPr>
        <w:t xml:space="preserve">Survey, Landscapes and Horizons,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IEEE Transactions on Software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Engineering</w:t>
      </w:r>
      <w:r>
        <w:rPr>
          <w:lang w:val="fr-FR"/>
        </w:rPr>
        <w:t xml:space="preserve">, 48, 1, 1-36. [S4.1]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Panorama des propriétés testées (correction, robustesse, équité) et des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méthodes de test adaptées aux systèmes ML, dont le problème de l’oracle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face à la non-déterminicité.</w:t>
      </w:r>
    </w:p>
    <w:p>
      <w:pPr>
        <w:pStyle w:val="Compact"/>
        <w:numPr>
          <w:ilvl w:val="0"/>
          <w:numId w:val="1005"/>
        </w:numPr>
      </w:pPr>
      <w:r>
        <w:rPr>
          <w:lang w:val="fr-FR"/>
        </w:rPr>
        <w:t xml:space="preserve">Ribeiro M.T., Wu T., Guestrin C. et Singh S. (2020), Beyond Accuracy:</w:t>
      </w:r>
      <w:r>
        <w:rPr>
          <w:lang w:val="fr-FR"/>
        </w:rPr>
        <w:t xml:space="preserve"> </w:t>
      </w:r>
      <w:r>
        <w:rPr>
          <w:lang w:val="fr-FR"/>
        </w:rPr>
        <w:t xml:space="preserve">Behavioral Testing of NLP Models with CheckList, in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Proceedings of the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58th Annual Meeting of the Association for Computational Linguistics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4902-4912. [S4.1]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Méthode concrète pour construire un jeu de tests de référence organisé par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comportement attendu plutôt que par exactitude stricte.</w:t>
      </w:r>
    </w:p>
    <w:bookmarkEnd w:id="13"/>
    <w:bookmarkEnd w:id="14"/>
    <w:bookmarkStart w:id="15" w:name="référentiels-et-standards"/>
    <w:p>
      <w:pPr>
        <w:pStyle w:val="Heading1"/>
      </w:pPr>
      <w:r>
        <w:rPr>
          <w:rStyle w:val="SectionNumber"/>
          <w:lang w:val="fr-FR"/>
        </w:rPr>
        <w:t xml:space="preserve">3</w:t>
      </w:r>
      <w:r>
        <w:tab/>
      </w:r>
      <w:r>
        <w:rPr>
          <w:lang w:val="fr-FR"/>
        </w:rPr>
        <w:t xml:space="preserve">Référentiels et standards</w:t>
      </w:r>
    </w:p>
    <w:p>
      <w:pPr>
        <w:pStyle w:val="Compact"/>
        <w:numPr>
          <w:ilvl w:val="0"/>
          <w:numId w:val="1006"/>
        </w:numPr>
      </w:pPr>
      <w:r>
        <w:rPr>
          <w:lang w:val="fr-FR"/>
        </w:rPr>
        <w:t xml:space="preserve">OWASP Foundation (2025),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OWASP Top 10 for LLM Applications</w:t>
      </w:r>
      <w:r>
        <w:rPr>
          <w:lang w:val="fr-FR"/>
        </w:rPr>
        <w:t xml:space="preserve">, édition 2025,</w:t>
      </w:r>
      <w:r>
        <w:rPr>
          <w:lang w:val="fr-FR"/>
        </w:rPr>
        <w:t xml:space="preserve"> </w:t>
      </w:r>
      <w:r>
        <w:rPr>
          <w:lang w:val="fr-FR"/>
        </w:rPr>
        <w:t xml:space="preserve">https://genai.owasp.org/llm-top-10/, consulté le 8 septembre 2026. [S4.2]</w:t>
      </w:r>
    </w:p>
    <w:p>
      <w:pPr>
        <w:pStyle w:val="Compact"/>
        <w:numPr>
          <w:ilvl w:val="0"/>
          <w:numId w:val="1006"/>
        </w:numPr>
      </w:pPr>
      <w:r>
        <w:rPr>
          <w:lang w:val="fr-FR"/>
        </w:rPr>
        <w:t xml:space="preserve">OWASP Foundation (2026),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OWASP Top 10 for Agentic Applications</w:t>
      </w:r>
      <w:r>
        <w:rPr>
          <w:lang w:val="fr-FR"/>
        </w:rPr>
        <w:t xml:space="preserve">, édition</w:t>
      </w:r>
      <w:r>
        <w:rPr>
          <w:lang w:val="fr-FR"/>
        </w:rPr>
        <w:t xml:space="preserve"> </w:t>
      </w:r>
      <w:r>
        <w:rPr>
          <w:lang w:val="fr-FR"/>
        </w:rPr>
        <w:t xml:space="preserve">2026 (publiée le 9 décembre 2025),</w:t>
      </w:r>
      <w:r>
        <w:rPr>
          <w:lang w:val="fr-FR"/>
        </w:rPr>
        <w:t xml:space="preserve"> </w:t>
      </w:r>
      <w:r>
        <w:rPr>
          <w:lang w:val="fr-FR"/>
        </w:rPr>
        <w:t xml:space="preserve">https://genai.owasp.org/resource/owasp-top-10-for-agentic-applications-for-2026/,</w:t>
      </w:r>
      <w:r>
        <w:rPr>
          <w:lang w:val="fr-FR"/>
        </w:rPr>
        <w:t xml:space="preserve"> </w:t>
      </w:r>
      <w:r>
        <w:rPr>
          <w:lang w:val="fr-FR"/>
        </w:rPr>
        <w:t xml:space="preserve">consulté le 8 septembre 2026. [S4.2]</w:t>
      </w:r>
    </w:p>
    <w:p>
      <w:pPr>
        <w:pStyle w:val="Compact"/>
        <w:numPr>
          <w:ilvl w:val="0"/>
          <w:numId w:val="1006"/>
        </w:numPr>
      </w:pPr>
      <w:r>
        <w:rPr>
          <w:lang w:val="fr-FR"/>
        </w:rPr>
        <w:t xml:space="preserve">OpenTelemetry (2026),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Semantic Conventions for Generative AI systems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spécification en évolution continue, pas de numéro de version stable,</w:t>
      </w:r>
      <w:r>
        <w:rPr>
          <w:lang w:val="fr-FR"/>
        </w:rPr>
        <w:t xml:space="preserve"> </w:t>
      </w:r>
      <w:r>
        <w:rPr>
          <w:lang w:val="fr-FR"/>
        </w:rPr>
        <w:t xml:space="preserve">https://github.com/open-telemetry/semantic-conventions-genai, consulté le</w:t>
      </w:r>
      <w:r>
        <w:rPr>
          <w:lang w:val="fr-FR"/>
        </w:rPr>
        <w:t xml:space="preserve"> </w:t>
      </w:r>
      <w:r>
        <w:rPr>
          <w:lang w:val="fr-FR"/>
        </w:rPr>
        <w:t xml:space="preserve">8 septembre 2026. [S3.2]</w:t>
      </w:r>
    </w:p>
    <w:bookmarkEnd w:id="15"/>
    <w:bookmarkStart w:id="19" w:name="documentation-technique"/>
    <w:p>
      <w:pPr>
        <w:pStyle w:val="Heading1"/>
      </w:pPr>
      <w:r>
        <w:rPr>
          <w:rStyle w:val="SectionNumber"/>
          <w:lang w:val="fr-FR"/>
        </w:rPr>
        <w:t xml:space="preserve">4</w:t>
      </w:r>
      <w:r>
        <w:tab/>
      </w:r>
      <w:r>
        <w:rPr>
          <w:lang w:val="fr-FR"/>
        </w:rPr>
        <w:t xml:space="preserve">Documentation technique</w:t>
      </w:r>
    </w:p>
    <w:bookmarkStart w:id="16" w:name="architecture-logicielle"/>
    <w:p>
      <w:pPr>
        <w:pStyle w:val="Heading2"/>
      </w:pPr>
      <w:r>
        <w:rPr>
          <w:rStyle w:val="SectionNumber"/>
          <w:lang w:val="fr-FR"/>
        </w:rPr>
        <w:t xml:space="preserve">4.1</w:t>
      </w:r>
      <w:r>
        <w:tab/>
      </w:r>
      <w:r>
        <w:rPr>
          <w:lang w:val="fr-FR"/>
        </w:rPr>
        <w:t xml:space="preserve">Architecture logicielle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Cockburn A. (2005),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Hexagonal Architecture</w:t>
      </w:r>
      <w:r>
        <w:rPr>
          <w:lang w:val="fr-FR"/>
        </w:rPr>
        <w:t xml:space="preserve"> </w:t>
      </w:r>
      <w:r>
        <w:rPr>
          <w:lang w:val="fr-FR"/>
        </w:rPr>
        <w:t xml:space="preserve">(HaT Technical Report 2005.02),</w:t>
      </w:r>
      <w:r>
        <w:rPr>
          <w:lang w:val="fr-FR"/>
        </w:rPr>
        <w:t xml:space="preserve"> </w:t>
      </w:r>
      <w:r>
        <w:rPr>
          <w:lang w:val="fr-FR"/>
        </w:rPr>
        <w:t xml:space="preserve">article en ligne, https://alistair.cockburn.us/hexagonal-architecture/,</w:t>
      </w:r>
      <w:r>
        <w:rPr>
          <w:lang w:val="fr-FR"/>
        </w:rPr>
        <w:t xml:space="preserve"> </w:t>
      </w:r>
      <w:r>
        <w:rPr>
          <w:lang w:val="fr-FR"/>
        </w:rPr>
        <w:t xml:space="preserve">consulté le 8 septembre 2026. [S1.1]</w:t>
      </w:r>
    </w:p>
    <w:p>
      <w:pPr>
        <w:pStyle w:val="Compact"/>
        <w:numPr>
          <w:ilvl w:val="0"/>
          <w:numId w:val="1007"/>
        </w:numPr>
      </w:pPr>
      <w:r>
        <w:rPr>
          <w:lang w:val="fr-FR"/>
        </w:rPr>
        <w:t xml:space="preserve">Fowler M. (2011),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CQRS</w:t>
      </w:r>
      <w:r>
        <w:rPr>
          <w:lang w:val="fr-FR"/>
        </w:rPr>
        <w:t xml:space="preserve">, article en ligne (martinfowler.com),</w:t>
      </w:r>
      <w:r>
        <w:rPr>
          <w:lang w:val="fr-FR"/>
        </w:rPr>
        <w:t xml:space="preserve"> </w:t>
      </w:r>
      <w:r>
        <w:rPr>
          <w:lang w:val="fr-FR"/>
        </w:rPr>
        <w:t xml:space="preserve">https://martinfowler.com/bliki/CQRS.html, consulté le 8 septembre 2026.</w:t>
      </w:r>
      <w:r>
        <w:rPr>
          <w:lang w:val="fr-FR"/>
        </w:rPr>
        <w:t xml:space="preserve"> </w:t>
      </w:r>
      <w:r>
        <w:rPr>
          <w:lang w:val="fr-FR"/>
        </w:rPr>
        <w:t xml:space="preserve">[S1.1]</w:t>
      </w:r>
    </w:p>
    <w:bookmarkEnd w:id="16"/>
    <w:bookmarkStart w:id="17" w:name="frameworks-et-sdk"/>
    <w:p>
      <w:pPr>
        <w:pStyle w:val="Heading2"/>
      </w:pPr>
      <w:r>
        <w:rPr>
          <w:rStyle w:val="SectionNumber"/>
          <w:lang w:val="fr-FR"/>
        </w:rPr>
        <w:t xml:space="preserve">4.2</w:t>
      </w:r>
      <w:r>
        <w:tab/>
      </w:r>
      <w:r>
        <w:rPr>
          <w:lang w:val="fr-FR"/>
        </w:rPr>
        <w:t xml:space="preserve">Frameworks et SDK</w:t>
      </w:r>
    </w:p>
    <w:p>
      <w:pPr>
        <w:pStyle w:val="Compact"/>
        <w:numPr>
          <w:ilvl w:val="0"/>
          <w:numId w:val="1008"/>
        </w:numPr>
      </w:pPr>
      <w:r>
        <w:rPr>
          <w:lang w:val="fr-FR"/>
        </w:rPr>
        <w:t xml:space="preserve">VMware / Broadcom (2026),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Spring AI Reference Documentation</w:t>
      </w:r>
      <w:r>
        <w:rPr>
          <w:lang w:val="fr-FR"/>
        </w:rPr>
        <w:t xml:space="preserve">, version</w:t>
      </w:r>
      <w:r>
        <w:rPr>
          <w:lang w:val="fr-FR"/>
        </w:rPr>
        <w:t xml:space="preserve"> </w:t>
      </w:r>
      <w:r>
        <w:rPr>
          <w:lang w:val="fr-FR"/>
        </w:rPr>
        <w:t xml:space="preserve">2.0.1, https://docs.spring.io/spring-ai/reference/, consulté le</w:t>
      </w:r>
      <w:r>
        <w:rPr>
          <w:lang w:val="fr-FR"/>
        </w:rPr>
        <w:t xml:space="preserve"> </w:t>
      </w:r>
      <w:r>
        <w:rPr>
          <w:lang w:val="fr-FR"/>
        </w:rPr>
        <w:t xml:space="preserve">8 septembre 2026. [S2.1, S2.3, S3.2, S4.1]</w:t>
      </w:r>
    </w:p>
    <w:p>
      <w:pPr>
        <w:pStyle w:val="Compact"/>
        <w:numPr>
          <w:ilvl w:val="0"/>
          <w:numId w:val="1008"/>
        </w:numPr>
      </w:pPr>
      <w:r>
        <w:rPr>
          <w:lang w:val="fr-FR"/>
        </w:rPr>
        <w:t xml:space="preserve">Laravel LLC (2026),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Laravel AI SDK Documentation</w:t>
      </w:r>
      <w:r>
        <w:rPr>
          <w:lang w:val="fr-FR"/>
        </w:rPr>
        <w:t xml:space="preserve"> </w:t>
      </w:r>
      <w:r>
        <w:rPr>
          <w:lang w:val="fr-FR"/>
        </w:rPr>
        <w:t xml:space="preserve">(package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laravel/ai</w:t>
      </w:r>
      <w:r>
        <w:rPr>
          <w:lang w:val="fr-FR"/>
        </w:rPr>
        <w:t xml:space="preserve">),</w:t>
      </w:r>
      <w:r>
        <w:rPr>
          <w:lang w:val="fr-FR"/>
        </w:rPr>
        <w:t xml:space="preserve"> </w:t>
      </w:r>
      <w:r>
        <w:rPr>
          <w:lang w:val="fr-FR"/>
        </w:rPr>
        <w:t xml:space="preserve">version 0.x (première publication le 5 février 2026, tag</w:t>
      </w:r>
      <w:r>
        <w:rPr>
          <w:lang w:val="fr-FR"/>
        </w:rPr>
        <w:t xml:space="preserve"> </w:t>
      </w:r>
      <w:r>
        <w:rPr>
          <w:rStyle w:val="VerbatimChar"/>
          <w:lang w:val="fr-FR"/>
        </w:rPr>
        <w:t xml:space="preserve">v0.1.0</w:t>
      </w:r>
      <w:r>
        <w:rPr>
          <w:lang w:val="fr-FR"/>
        </w:rPr>
        <w:t xml:space="preserve">,</w:t>
      </w:r>
      <w:r>
        <w:rPr>
          <w:lang w:val="fr-FR"/>
        </w:rPr>
        <w:t xml:space="preserve"> </w:t>
      </w:r>
      <w:r>
        <w:rPr>
          <w:lang w:val="fr-FR"/>
        </w:rPr>
        <w:t xml:space="preserve">github.com/laravel/ai/releases), https://laravel.com/docs/ai-sdk, consulté</w:t>
      </w:r>
      <w:r>
        <w:rPr>
          <w:lang w:val="fr-FR"/>
        </w:rPr>
        <w:t xml:space="preserve"> </w:t>
      </w:r>
      <w:r>
        <w:rPr>
          <w:lang w:val="fr-FR"/>
        </w:rPr>
        <w:t xml:space="preserve">le 8 septembre 2026. [S2.1, S2.3, S3.1, S4.1]</w:t>
      </w:r>
    </w:p>
    <w:p>
      <w:pPr>
        <w:pStyle w:val="Compact"/>
        <w:numPr>
          <w:ilvl w:val="0"/>
          <w:numId w:val="1008"/>
        </w:numPr>
      </w:pPr>
      <w:r>
        <w:rPr>
          <w:lang w:val="fr-FR"/>
        </w:rPr>
        <w:t xml:space="preserve">Laravel LLC (2026),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Laravel 13 Documentation</w:t>
      </w:r>
      <w:r>
        <w:rPr>
          <w:lang w:val="fr-FR"/>
        </w:rPr>
        <w:t xml:space="preserve">, https://laravel.com/docs/13.x,</w:t>
      </w:r>
      <w:r>
        <w:rPr>
          <w:lang w:val="fr-FR"/>
        </w:rPr>
        <w:t xml:space="preserve"> </w:t>
      </w:r>
      <w:r>
        <w:rPr>
          <w:lang w:val="fr-FR"/>
        </w:rPr>
        <w:t xml:space="preserve">consulté le 8 septembre 2026. [S1.1]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Documentation distincte de celle du Laravel AI SDK (</w:t>
      </w:r>
      <w:r>
        <w:rPr>
          <w:rStyle w:val="VerbatimChar"/>
          <w:i/>
          <w:iCs/>
          <w:lang w:val="fr-FR"/>
        </w:rPr>
        <w:t xml:space="preserve">laravel.com/docs/ai-sdk</w:t>
      </w:r>
      <w:r>
        <w:rPr>
          <w:i/>
          <w:iCs/>
          <w:lang w:val="fr-FR"/>
        </w:rPr>
        <w:t xml:space="preserve">,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package</w:t>
      </w:r>
      <w:r>
        <w:rPr>
          <w:i/>
          <w:iCs/>
          <w:lang w:val="fr-FR"/>
        </w:rPr>
        <w:t xml:space="preserve"> </w:t>
      </w:r>
      <w:r>
        <w:rPr>
          <w:rStyle w:val="VerbatimChar"/>
          <w:i/>
          <w:iCs/>
          <w:lang w:val="fr-FR"/>
        </w:rPr>
        <w:t xml:space="preserve">laravel/ai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séparé).</w:t>
      </w:r>
    </w:p>
    <w:p>
      <w:pPr>
        <w:pStyle w:val="Compact"/>
        <w:numPr>
          <w:ilvl w:val="0"/>
          <w:numId w:val="1008"/>
        </w:numPr>
      </w:pPr>
      <w:r>
        <w:rPr>
          <w:lang w:val="fr-FR"/>
        </w:rPr>
        <w:t xml:space="preserve">Resilience4j (2024),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Resilience4j User Guide</w:t>
      </w:r>
      <w:r>
        <w:rPr>
          <w:lang w:val="fr-FR"/>
        </w:rPr>
        <w:t xml:space="preserve">, version 2.4.0,</w:t>
      </w:r>
      <w:r>
        <w:rPr>
          <w:lang w:val="fr-FR"/>
        </w:rPr>
        <w:t xml:space="preserve"> </w:t>
      </w:r>
      <w:r>
        <w:rPr>
          <w:lang w:val="fr-FR"/>
        </w:rPr>
        <w:t xml:space="preserve">https://resilience4j.readme.io/, consulté le 8 septembre 2026. [S3.1]</w:t>
      </w:r>
    </w:p>
    <w:bookmarkEnd w:id="17"/>
    <w:bookmarkStart w:id="18" w:name="outils"/>
    <w:p>
      <w:pPr>
        <w:pStyle w:val="Heading2"/>
      </w:pPr>
      <w:r>
        <w:rPr>
          <w:rStyle w:val="SectionNumber"/>
          <w:lang w:val="fr-FR"/>
        </w:rPr>
        <w:t xml:space="preserve">4.3</w:t>
      </w:r>
      <w:r>
        <w:tab/>
      </w:r>
      <w:r>
        <w:rPr>
          <w:lang w:val="fr-FR"/>
        </w:rPr>
        <w:t xml:space="preserve">Outils</w:t>
      </w:r>
    </w:p>
    <w:p>
      <w:pPr>
        <w:pStyle w:val="Compact"/>
        <w:numPr>
          <w:ilvl w:val="0"/>
          <w:numId w:val="1009"/>
        </w:numPr>
      </w:pPr>
      <w:r>
        <w:rPr>
          <w:lang w:val="fr-FR"/>
        </w:rPr>
        <w:t xml:space="preserve">Ollama (2026),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Ollama Documentation</w:t>
      </w:r>
      <w:r>
        <w:rPr>
          <w:lang w:val="fr-FR"/>
        </w:rPr>
        <w:t xml:space="preserve">, version 0.34.0,</w:t>
      </w:r>
      <w:r>
        <w:rPr>
          <w:lang w:val="fr-FR"/>
        </w:rPr>
        <w:t xml:space="preserve"> </w:t>
      </w:r>
      <w:r>
        <w:rPr>
          <w:lang w:val="fr-FR"/>
        </w:rPr>
        <w:t xml:space="preserve">https://docs.ollama.com/, consulté le 8 septembre 2026. [S1.3]</w:t>
      </w:r>
    </w:p>
    <w:p>
      <w:pPr>
        <w:pStyle w:val="Compact"/>
        <w:numPr>
          <w:ilvl w:val="0"/>
          <w:numId w:val="1009"/>
        </w:numPr>
      </w:pPr>
      <w:r>
        <w:rPr>
          <w:lang w:val="fr-FR"/>
        </w:rPr>
        <w:t xml:space="preserve">pgvector (2026),</w:t>
      </w:r>
      <w:r>
        <w:rPr>
          <w:lang w:val="fr-FR"/>
        </w:rPr>
        <w:t xml:space="preserve"> </w:t>
      </w:r>
      <w:r>
        <w:rPr>
          <w:i/>
          <w:iCs/>
          <w:lang w:val="fr-FR"/>
        </w:rPr>
        <w:t xml:space="preserve">pgvector: Open-source vector similarity search for</w:t>
      </w:r>
      <w:r>
        <w:rPr>
          <w:i/>
          <w:iCs/>
          <w:lang w:val="fr-FR"/>
        </w:rPr>
        <w:t xml:space="preserve"> </w:t>
      </w:r>
      <w:r>
        <w:rPr>
          <w:i/>
          <w:iCs/>
          <w:lang w:val="fr-FR"/>
        </w:rPr>
        <w:t xml:space="preserve">Postgres</w:t>
      </w:r>
      <w:r>
        <w:rPr>
          <w:lang w:val="fr-FR"/>
        </w:rPr>
        <w:t xml:space="preserve">, version 0.8.6, https://github.com/pgvector/pgvector, consulté le</w:t>
      </w:r>
      <w:r>
        <w:rPr>
          <w:lang w:val="fr-FR"/>
        </w:rPr>
        <w:t xml:space="preserve"> </w:t>
      </w:r>
      <w:r>
        <w:rPr>
          <w:lang w:val="fr-FR"/>
        </w:rPr>
        <w:t xml:space="preserve">8 septembre 2026. [S2.3]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2"/>
        <w:szCs w:val="22"/>
        <w:lang w:bidi="ar-SA" w:eastAsia="fr-FR" w:val="fr-FR"/>
      </w:rPr>
    </w:rPrDefault>
    <w:pPrDefault>
      <w:pPr>
        <w:spacing w:after="20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left"/>
    </w:pPr>
    <w:rPr>
      <w:rFonts w:ascii="Arial" w:cs="Arial" w:eastAsia="Arial" w:hAnsi="Arial"/>
      <w:b/>
      <w:color w:val="111111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Arial" w:hAnsi="Arial"/>
      <w:b/>
      <w:caps/>
      <w:spacing w:val="10"/>
      <w:color w:val="11111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Arial" w:hAnsi="Arial"/>
      <w:b/>
      <w:color w:val="11111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Arial" w:hAnsi="Arial"/>
      <w:b/>
      <w:color w:val="11111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Arial" w:hAnsi="Arial"/>
      <w:b/>
      <w:i/>
      <w:color w:val="111111"/>
      <w:sz w:val="22"/>
      <w:szCs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4526D" w:space="8" w:sz="12" w:val="single"/>
      </w:pBd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b/>
        <w:color w:val="111111"/>
      </w:rPr>
      <w:tcPr>
        <w:shd w:color="auto" w:fill="EFEFEF" w:val="clear"/>
      </w:tcPr>
    </w:tblStylePr>
    <w:tblStylePr w:type="band2Horz">
      <w:tcPr>
        <w:shd w:color="auto" w:fill="F5F7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4526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120" w:before="240"/>
      <w:outlineLvl w:val="9"/>
    </w:pPr>
  </w:style>
  <w:style w:styleId="TOC1" w:type="paragraph">
    <w:name w:val="toc 1"/>
    <w:basedOn w:val="Normal"/>
    <w:next w:val="Normal"/>
    <w:uiPriority w:val="39"/>
    <w:unhideWhenUsed/>
    <w:pPr>
      <w:tabs>
        <w:tab w:leader="dot" w:pos="9350" w:val="right"/>
      </w:tabs>
      <w:spacing w:after="0" w:before="120" w:line="276" w:lineRule="auto"/>
      <w:ind w:left="0"/>
    </w:pPr>
    <w:rPr>
      <w:b/>
    </w:rPr>
  </w:style>
  <w:style w:styleId="TOC2" w:type="paragraph">
    <w:name w:val="toc 2"/>
    <w:basedOn w:val="Normal"/>
    <w:next w:val="Normal"/>
    <w:uiPriority w:val="39"/>
    <w:unhideWhenUsed/>
    <w:pPr>
      <w:tabs>
        <w:tab w:leader="dot" w:pos="9350" w:val="right"/>
      </w:tabs>
      <w:spacing w:after="0" w:before="40" w:line="276" w:lineRule="auto"/>
      <w:ind w:left="220"/>
    </w:pPr>
  </w:style>
  <w:style w:styleId="TOC3" w:type="paragraph">
    <w:name w:val="toc 3"/>
    <w:basedOn w:val="Normal"/>
    <w:next w:val="Normal"/>
    <w:uiPriority w:val="39"/>
    <w:unhideWhenUsed/>
    <w:pPr>
      <w:tabs>
        <w:tab w:leader="dot" w:pos="9350" w:val="right"/>
      </w:tabs>
      <w:spacing w:after="0" w:before="0" w:line="276" w:lineRule="auto"/>
      <w:ind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Bibliographie</dc:title>
  <dc:creator/>
  <dc:language>fr-FR</dc:language>
  <cp:keywords/>
  <dcterms:created xsi:type="dcterms:W3CDTF">2026-09-12T17:33:18Z</dcterms:created>
  <dcterms:modified xsi:type="dcterms:W3CDTF">2026-09-12T17:33:18Z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Projet FYC 2026-2027</vt:lpwstr>
  </property>
  <property fmtid="{D5CDD505-2E9C-101B-9397-08002B2CF9AE}" pid="3" name="toc-title">
    <vt:lpwstr>Sommaire</vt:lpwstr>
  </property>
</Properties>
</file>