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Gestion de projet et répartition du travail</w:t>
      </w:r>
    </w:p>
    <w:p>
      <w:pPr>
        <w:pStyle w:val="Subtitle"/>
      </w:pPr>
      <w:r>
        <w:rPr>
          <w:lang w:val="fr-FR"/>
        </w:rPr>
        <w:t xml:space="preserve">Export du projet Linear, jalon Séance 2, au 12/09/2026</w:t>
      </w:r>
    </w:p>
    <w:p>
      <w:pPr>
        <w:pStyle w:val="Author"/>
      </w:pPr>
      <w:r>
        <w:rPr>
          <w:lang w:val="fr-FR"/>
        </w:rPr>
        <w:t xml:space="preserve">Quentin Bauduin, Timothé Geoffroy, Kaan Topkaya, Erwin Gossin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fr-FR"/>
            </w:rPr>
            <w:t xml:space="preserve">Sommaire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comment-le-projet-est-géré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Comment le projet est géré</w:t>
      </w:r>
    </w:p>
    <w:p>
      <w:pPr>
        <w:pStyle w:val="FirstParagraph"/>
      </w:pPr>
      <w:r>
        <w:rPr>
          <w:lang w:val="fr-FR"/>
        </w:rPr>
        <w:t xml:space="preserve">Outil de suivi : Linear,</w:t>
      </w:r>
      <w:r>
        <w:rPr>
          <w:lang w:val="fr-FR"/>
        </w:rPr>
        <w:t xml:space="preserve"> </w:t>
      </w:r>
      <w:hyperlink r:id="rId9">
        <w:r>
          <w:rPr>
            <w:rStyle w:val="Hyperlink"/>
            <w:lang w:val="fr-FR"/>
          </w:rPr>
          <w:t xml:space="preserve">projet FYC</w:t>
        </w:r>
      </w:hyperlink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Un jalon par séance avec le mentor : séance 2, séance 3, séance 4, fermeture</w:t>
      </w:r>
      <w:r>
        <w:rPr>
          <w:lang w:val="fr-FR"/>
        </w:rPr>
        <w:t xml:space="preserve"> </w:t>
      </w:r>
      <w:r>
        <w:rPr>
          <w:lang w:val="fr-FR"/>
        </w:rPr>
        <w:t xml:space="preserve">Moodle, soutenance. Chaque jalon porte son échéance et son attendu.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Une tâche par chapitre et par livrable, assignée à un membre, avec une</w:t>
      </w:r>
      <w:r>
        <w:rPr>
          <w:lang w:val="fr-FR"/>
        </w:rPr>
        <w:t xml:space="preserve"> </w:t>
      </w:r>
      <w:r>
        <w:rPr>
          <w:lang w:val="fr-FR"/>
        </w:rPr>
        <w:t xml:space="preserve">échéance. L’estimation des chapitres est en heures apprenant : leur somme</w:t>
      </w:r>
      <w:r>
        <w:rPr>
          <w:lang w:val="fr-FR"/>
        </w:rPr>
        <w:t xml:space="preserve"> </w:t>
      </w:r>
      <w:r>
        <w:rPr>
          <w:lang w:val="fr-FR"/>
        </w:rPr>
        <w:t xml:space="preserve">égale la durée cible du cours.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Les tâches issues d’un retour du mentor portent le label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retour-mentor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lang w:val="fr-FR"/>
        </w:rPr>
        <w:t xml:space="preserve">ce qui permet de vérifier qu’aucun retour n’est resté sans suite.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travail passe par une branche et une pull request sur</w:t>
      </w:r>
      <w:r>
        <w:rPr>
          <w:lang w:val="fr-FR"/>
        </w:rPr>
        <w:t xml:space="preserve"> </w:t>
      </w:r>
      <w:hyperlink r:id="rId10">
        <w:r>
          <w:rPr>
            <w:rStyle w:val="Hyperlink"/>
            <w:lang w:val="fr-FR"/>
          </w:rPr>
          <w:t xml:space="preserve">le dépôt GitHub</w:t>
        </w:r>
      </w:hyperlink>
      <w:r>
        <w:rPr>
          <w:lang w:val="fr-FR"/>
        </w:rPr>
        <w:t xml:space="preserve">, relue par un autre</w:t>
      </w:r>
      <w:r>
        <w:rPr>
          <w:lang w:val="fr-FR"/>
        </w:rPr>
        <w:t xml:space="preserve"> </w:t>
      </w:r>
      <w:r>
        <w:rPr>
          <w:lang w:val="fr-FR"/>
        </w:rPr>
        <w:t xml:space="preserve">membre avant d’être intégrée. La tâche Linear se ferme au merge.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Nomenclature complète (labels, statuts, priorités, définition de terminé) :</w:t>
      </w:r>
      <w:r>
        <w:rPr>
          <w:lang w:val="fr-FR"/>
        </w:rPr>
        <w:t xml:space="preserve"> </w:t>
      </w:r>
      <w:hyperlink r:id="rId11">
        <w:r>
          <w:rPr>
            <w:rStyle w:val="Hyperlink"/>
            <w:lang w:val="fr-FR"/>
          </w:rPr>
          <w:t xml:space="preserve">document Linear</w:t>
        </w:r>
      </w:hyperlink>
      <w:r>
        <w:rPr>
          <w:lang w:val="fr-FR"/>
        </w:rPr>
        <w:t xml:space="preserve">.</w:t>
      </w:r>
    </w:p>
    <w:bookmarkEnd w:id="12"/>
    <w:bookmarkStart w:id="18" w:name="qui-a-fait-quoi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Qui a fait quoi</w:t>
      </w:r>
    </w:p>
    <w:p>
      <w:pPr>
        <w:pStyle w:val="FirstParagraph"/>
      </w:pPr>
      <w:r>
        <w:rPr>
          <w:lang w:val="fr-FR"/>
        </w:rPr>
        <w:t xml:space="preserve">Jalon « Séance 2 : 20 % », 21 tâches : 19 terminées, 2 en cours.</w:t>
      </w:r>
    </w:p>
    <w:bookmarkStart w:id="13" w:name="X7d208e5299e7dbcfbe3c2e5d927375a90c098d8"/>
    <w:p>
      <w:pPr>
        <w:pStyle w:val="Heading2"/>
      </w:pPr>
      <w:r>
        <w:rPr>
          <w:rStyle w:val="SectionNumber"/>
          <w:lang w:val="fr-FR"/>
        </w:rPr>
        <w:t xml:space="preserve">2.1</w:t>
      </w:r>
      <w:r>
        <w:tab/>
      </w:r>
      <w:r>
        <w:rPr>
          <w:lang w:val="fr-FR"/>
        </w:rPr>
        <w:t xml:space="preserve">Quentin Bauduin, chef de projet et contenu transversal</w:t>
      </w:r>
    </w:p>
    <w:p>
      <w:pPr>
        <w:pStyle w:val="FirstParagraph"/>
      </w:pPr>
      <w:r>
        <w:rPr>
          <w:lang w:val="fr-FR"/>
        </w:rPr>
        <w:t xml:space="preserve">8 tâches terminées.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Objet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 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 en place du suivi Linear, invitation de l’équipe, répartition des tâches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Titre du cours et problématique rédigée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Vue d’ensemble réécrite : l’agent IA n’est pas un composant comme un autre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Périmètre réduit : notions centrales et approfondissements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Activités synchrones remplacées par des activités autonomes (format Moodle)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Support écrit S1.1 et S1.2, un exercice et un QCM corrigés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Script de la vidéo de présentation réécrit après le retour du mentor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Vidéo de présentation, équipe et pré-requis : tournage, montage, sous-titres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12/09/2026</w:t>
            </w:r>
          </w:p>
        </w:tc>
      </w:tr>
    </w:tbl>
    <w:p>
      <w:pPr>
        <w:pStyle w:val="BodyText"/>
      </w:pPr>
      <w:r>
        <w:rPr>
          <w:lang w:val="fr-FR"/>
        </w:rPr>
        <w:t xml:space="preserve">En cours : document d’avancement (FYC-21), test de positionnement du chapitre 00 (FYC-10).</w:t>
      </w:r>
    </w:p>
    <w:bookmarkEnd w:id="13"/>
    <w:bookmarkStart w:id="14" w:name="kaan-topkaya-travaux-pratiques-laravel"/>
    <w:p>
      <w:pPr>
        <w:pStyle w:val="Heading2"/>
      </w:pPr>
      <w:r>
        <w:rPr>
          <w:rStyle w:val="SectionNumber"/>
          <w:lang w:val="fr-FR"/>
        </w:rPr>
        <w:t xml:space="preserve">2.2</w:t>
      </w:r>
      <w:r>
        <w:tab/>
      </w:r>
      <w:r>
        <w:rPr>
          <w:lang w:val="fr-FR"/>
        </w:rPr>
        <w:t xml:space="preserve">Kaan Topkaya, travaux pratiques Laravel</w:t>
      </w:r>
    </w:p>
    <w:p>
      <w:pPr>
        <w:pStyle w:val="FirstParagraph"/>
      </w:pPr>
      <w:r>
        <w:rPr>
          <w:lang w:val="fr-FR"/>
        </w:rPr>
        <w:t xml:space="preserve">4 tâches terminées.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Objet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 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Bibliographie : chaque entrée mise aux normes et vérifiée à la source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Durée de la séance 3 corrigée dans la scénarisation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Dépôt de départ du TP S1.4, contrôleur fourre-tout et tests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09/09/2026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Consignes pas à pas du TP S1.4, fiche apprenant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12/09/2026</w:t>
            </w:r>
          </w:p>
        </w:tc>
      </w:tr>
    </w:tbl>
    <w:bookmarkEnd w:id="14"/>
    <w:bookmarkStart w:id="15" w:name="Xb8e008c2295148aeb4e00081c85d32b437ed6b9"/>
    <w:p>
      <w:pPr>
        <w:pStyle w:val="Heading2"/>
      </w:pPr>
      <w:r>
        <w:rPr>
          <w:rStyle w:val="SectionNumber"/>
          <w:lang w:val="fr-FR"/>
        </w:rPr>
        <w:t xml:space="preserve">2.3</w:t>
      </w:r>
      <w:r>
        <w:tab/>
      </w:r>
      <w:r>
        <w:rPr>
          <w:lang w:val="fr-FR"/>
        </w:rPr>
        <w:t xml:space="preserve">Timothé Geoffroy, fil rouge et comparaisons</w:t>
      </w:r>
    </w:p>
    <w:p>
      <w:pPr>
        <w:pStyle w:val="FirstParagraph"/>
      </w:pPr>
      <w:r>
        <w:rPr>
          <w:lang w:val="fr-FR"/>
        </w:rPr>
        <w:t xml:space="preserve">3 tâches terminées.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Objet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 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de parcours arrêté : parcours unique Laravel, TP sans SDK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Bibliographie : publications scientifiques ajoutées, quatre catégories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Cas fil rouge : application type Notion avec agents, cas métier et périmètre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</w:tbl>
    <w:bookmarkEnd w:id="15"/>
    <w:bookmarkStart w:id="16" w:name="Xa7f5c801823a78d284d5138a506a82953ab466a"/>
    <w:p>
      <w:pPr>
        <w:pStyle w:val="Heading2"/>
      </w:pPr>
      <w:r>
        <w:rPr>
          <w:rStyle w:val="SectionNumber"/>
          <w:lang w:val="fr-FR"/>
        </w:rPr>
        <w:t xml:space="preserve">2.4</w:t>
      </w:r>
      <w:r>
        <w:tab/>
      </w:r>
      <w:r>
        <w:rPr>
          <w:lang w:val="fr-FR"/>
        </w:rPr>
        <w:t xml:space="preserve">Erwin Gossin, environnement et infrastructure</w:t>
      </w:r>
    </w:p>
    <w:p>
      <w:pPr>
        <w:pStyle w:val="FirstParagraph"/>
      </w:pPr>
      <w:r>
        <w:rPr>
          <w:lang w:val="fr-FR"/>
        </w:rPr>
        <w:t xml:space="preserve">3 tâches terminées.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Objet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 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Colonne « Ressources nécessaires » complétée pour chaque séquence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Scénarisation vérifiée contre les livrables obligatoires FYC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08/09/2026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Guide d’installation de l’environnement : PHP, Docker, pgvector, Ollama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12/09/2026</w:t>
            </w:r>
          </w:p>
        </w:tc>
      </w:tr>
    </w:tbl>
    <w:p>
      <w:pPr>
        <w:pStyle w:val="BodyText"/>
      </w:pPr>
      <w:r>
        <w:rPr>
          <w:lang w:val="fr-FR"/>
        </w:rPr>
        <w:t xml:space="preserve">Également terminé hors jalon séance 2 : charte graphique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reference.docx</w:t>
      </w:r>
      <w:r>
        <w:rPr>
          <w:lang w:val="fr-FR"/>
        </w:rPr>
        <w:t xml:space="preserve"> </w:t>
      </w:r>
      <w:r>
        <w:rPr>
          <w:lang w:val="fr-FR"/>
        </w:rPr>
        <w:t xml:space="preserve">(FYC-23).</w:t>
      </w:r>
    </w:p>
    <w:bookmarkEnd w:id="16"/>
    <w:bookmarkStart w:id="17" w:name="tâche-collective"/>
    <w:p>
      <w:pPr>
        <w:pStyle w:val="Heading2"/>
      </w:pPr>
      <w:r>
        <w:rPr>
          <w:rStyle w:val="SectionNumber"/>
          <w:lang w:val="fr-FR"/>
        </w:rPr>
        <w:t xml:space="preserve">2.5</w:t>
      </w:r>
      <w:r>
        <w:tab/>
      </w:r>
      <w:r>
        <w:rPr>
          <w:lang w:val="fr-FR"/>
        </w:rPr>
        <w:t xml:space="preserve">Tâche collective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Objet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 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FYC-22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20 % des supports : un exemple de chaque type, tâche parente des cinq livrables ci-dessus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12/09/2026</w:t>
            </w:r>
          </w:p>
        </w:tc>
      </w:tr>
    </w:tbl>
    <w:bookmarkEnd w:id="17"/>
    <w:bookmarkEnd w:id="18"/>
    <w:bookmarkStart w:id="19" w:name="retours-du-mentor-et-suites-données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Retours du mentor et suites données</w:t>
      </w:r>
    </w:p>
    <w:p>
      <w:pPr>
        <w:pStyle w:val="FirstParagraph"/>
      </w:pPr>
      <w:r>
        <w:rPr>
          <w:lang w:val="fr-FR"/>
        </w:rPr>
        <w:t xml:space="preserve">Chaque retour de séance devient une tâche. Compte-rendus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retours-mentor/</w:t>
      </w:r>
      <w:r>
        <w:rPr>
          <w:lang w:val="fr-FR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1863"/>
        <w:gridCol w:w="3028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Retour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FYC-11 à FYC-20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1 : titre, problématique, périmètre, parcours, format Moodle, durées, ressources, bibliographie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Toute l’équipe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la vidéo de présentation doit donner envie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Quentin Bauduin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le TP 1 n’a pas de consignes écrites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Kaan Topkaya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Terminée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rubrique « Ressources » ajoutée au modèle de chapitre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Quentin Bauduin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Jalon séance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ressources externes des chapitres 00 et 01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Quentin Bauduin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Jalon séance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renvois vers la documentation dans les TP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Kaan Topkaya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Jalon séance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FYC-36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2 : vidéos de live coding, bonus conditionnel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Groupe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 réserve</w:t>
            </w:r>
          </w:p>
        </w:tc>
      </w:tr>
    </w:tbl>
    <w:bookmarkEnd w:id="19"/>
    <w:bookmarkStart w:id="20" w:name="suite-du-projet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Suite du projet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030"/>
        <w:gridCol w:w="1624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Jalon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Échéance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3 : 50 % sur Moodle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02/12/2026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Chapitres 01 et 02, ressources externes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Quentin Bauduin, Timothé Geoffroy, Kaan Topkaya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Séance 4 : 100 % sur Moodle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06/01/2027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Chapitres 03, 04 et 05, cas pratique, test final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Kaan Topkaya, Timothé Geoffroy, Erwin Gossin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Fermeture Moodle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25/01/2027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 en ligne définitive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Groupe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Soutenance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03/02/2027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Support de soutenance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Quentin Bauduin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bidi="ar-SA" w:eastAsia="fr-FR" w:val="fr-FR"/>
      </w:rPr>
    </w:rPrDefault>
    <w:pPrDefault>
      <w:pPr>
        <w:spacing w:after="20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cs="Arial" w:eastAsia="Arial" w:hAnsi="Arial"/>
      <w:b/>
      <w:color w:val="111111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caps/>
      <w:spacing w:val="10"/>
      <w:color w:val="11111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color w:val="11111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color w:val="11111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b/>
      <w:i/>
      <w:color w:val="111111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14526D" w:space="8" w:sz="12" w:val="single"/>
      </w:pBd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color w:val="111111"/>
      </w:rPr>
      <w:tcPr>
        <w:shd w:color="auto" w:fill="EFEFEF" w:val="clear"/>
      </w:tcPr>
    </w:tblStylePr>
    <w:tblStylePr w:type="band2Horz">
      <w:tcPr>
        <w:shd w:color="auto" w:fill="F5F7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4526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20" w:before="240"/>
      <w:outlineLvl w:val="9"/>
    </w:pPr>
  </w:style>
  <w:style w:styleId="TOC1" w:type="paragraph">
    <w:name w:val="toc 1"/>
    <w:basedOn w:val="Normal"/>
    <w:next w:val="Normal"/>
    <w:uiPriority w:val="39"/>
    <w:unhideWhenUsed/>
    <w:pPr>
      <w:tabs>
        <w:tab w:leader="dot" w:pos="9350" w:val="right"/>
      </w:tabs>
      <w:spacing w:after="0" w:before="120" w:line="276" w:lineRule="auto"/>
      <w:ind w:left="0"/>
    </w:pPr>
    <w:rPr>
      <w:b/>
    </w:rPr>
  </w:style>
  <w:style w:styleId="TOC2" w:type="paragraph">
    <w:name w:val="toc 2"/>
    <w:basedOn w:val="Normal"/>
    <w:next w:val="Normal"/>
    <w:uiPriority w:val="39"/>
    <w:unhideWhenUsed/>
    <w:pPr>
      <w:tabs>
        <w:tab w:leader="dot" w:pos="9350" w:val="right"/>
      </w:tabs>
      <w:spacing w:after="0" w:before="40" w:line="276" w:lineRule="auto"/>
      <w:ind w:left="220"/>
    </w:pPr>
  </w:style>
  <w:style w:styleId="TOC3" w:type="paragraph">
    <w:name w:val="toc 3"/>
    <w:basedOn w:val="Normal"/>
    <w:next w:val="Normal"/>
    <w:uiPriority w:val="39"/>
    <w:unhideWhenUsed/>
    <w:pPr>
      <w:tabs>
        <w:tab w:leader="dot" w:pos="9350" w:val="right"/>
      </w:tabs>
      <w:spacing w:after="0" w:before="0" w:line="276" w:lineRule="auto"/>
      <w:ind w:left="44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aknaeq/fyc-cours" TargetMode="External" /><Relationship Type="http://schemas.openxmlformats.org/officeDocument/2006/relationships/hyperlink" Id="rId11" Target="https://linear.app/fyc/document/nomenclature-linear-comment-on-utilise-ce-projet-ef7b50633f27" TargetMode="External" /><Relationship Type="http://schemas.openxmlformats.org/officeDocument/2006/relationships/hyperlink" Id="rId9" Target="https://linear.app/fyc/project/fyc-cours-ia-and-architecture-web-838bc16885f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aknaeq/fyc-cours" TargetMode="External" /><Relationship Type="http://schemas.openxmlformats.org/officeDocument/2006/relationships/hyperlink" Id="rId11" Target="https://linear.app/fyc/document/nomenclature-linear-comment-on-utilise-ce-projet-ef7b50633f27" TargetMode="External" /><Relationship Type="http://schemas.openxmlformats.org/officeDocument/2006/relationships/hyperlink" Id="rId9" Target="https://linear.app/fyc/project/fyc-cours-ia-and-architecture-web-838bc16885f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 de projet et répartition du travail</dc:title>
  <dc:creator>Quentin Bauduin, Timothé Geoffroy, Kaan Topkaya, Erwin Gossin</dc:creator>
  <dc:language>fr-FR</dc:language>
  <cp:keywords/>
  <dcterms:created xsi:type="dcterms:W3CDTF">2026-09-12T17:33:19Z</dcterms:created>
  <dcterms:modified xsi:type="dcterms:W3CDTF">2026-09-12T17:33:19Z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Export du projet Linear, jalon Séance 2, au 12/09/2026</vt:lpwstr>
  </property>
  <property fmtid="{D5CDD505-2E9C-101B-9397-08002B2CF9AE}" pid="3" name="toc-title">
    <vt:lpwstr>Sommaire</vt:lpwstr>
  </property>
</Properties>
</file>