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ReaxFF 反应分析内核产品需求文档</w:t>
      </w:r>
    </w:p>
    <w:p>
      <w:r>
        <w:t>版本 v0.1　日期 2026年9月16日　项目 smiletosvg</w:t>
      </w:r>
    </w:p>
    <w:p>
      <w:pPr>
        <w:pStyle w:val="Heading1"/>
      </w:pPr>
      <w:r>
        <w:t>01 产品目标与范围</w:t>
      </w:r>
    </w:p>
    <w:p>
      <w:r>
        <w:t>本项目面向个人科研人员的本地 ReaxFF 轨迹分析。产品目标是从模拟中的原子连接及其变化出发，识别分子和化学物种、统计关键产物、追踪反应事件，并生成可回查原始轨迹的反应网络和产物路径。SMILES 与 InChI 应参与结构识别、物种归并和目标匹配，而不是仅作为导出字段。</w:t>
      </w:r>
    </w:p>
    <w:p>
      <w:r>
        <w:t>本 PRD 定义分析内核的需求和拟采用的实现方式，为后续算法验证与开发提供依据。文中“应”表示目标要求；不表示当前代码已经实现或已通过真实数据验证。</w:t>
      </w:r>
    </w:p>
    <w:p>
      <w:pPr>
        <w:pStyle w:val="Heading2"/>
      </w:pPr>
      <w:r>
        <w:t>决策状态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已明确范围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本地科研使用，先讨论和实现分析内核，前后端后续再议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拟定方案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根据本轮讨论整理的处理流程、数据模型和输出约定，进入验证后可修订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待验证参数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连接阈值、电子状态推断、时间过滤窗口等，不能把演示数值当作正式默认值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核心工作流</w:t>
      </w:r>
    </w:p>
    <w:p>
      <w:r>
        <w:t>输入与核查 → 连接判定 → 分子实例识别 → 化学结构推断与物种归并 → 关键产物匹配 → 候选事件识别 → 事件标记与筛选 → 反应网络与路径 → 数据及 SVG 导出。</w:t>
      </w:r>
    </w:p>
    <w:p>
      <w:pPr>
        <w:pStyle w:val="Heading2"/>
      </w:pPr>
      <w:r>
        <w:t>本期范围</w:t>
      </w:r>
    </w:p>
    <w:p>
      <w:pPr>
        <w:pStyle w:val="ListBullet"/>
      </w:pPr>
      <w:r>
        <w:t>以 bonds 为主要数据源，支持配套坐标与分析配置；逐帧处理并保留原子追踪依据。</w:t>
      </w:r>
    </w:p>
    <w:p>
      <w:pPr>
        <w:pStyle w:val="ListBullet"/>
      </w:pPr>
      <w:r>
        <w:t>支持分子图、结构候选、物种注册、关键产物匹配、反应事件和路径分析。</w:t>
      </w:r>
    </w:p>
    <w:p>
      <w:pPr>
        <w:pStyle w:val="ListBullet"/>
      </w:pPr>
      <w:r>
        <w:t>保留结构歧义、转换失败和过滤原因，使汇总结果可审计、可复现。</w:t>
      </w:r>
    </w:p>
    <w:p>
      <w:pPr>
        <w:pStyle w:val="ListBullet"/>
      </w:pPr>
      <w:r>
        <w:t>提供数据导出和基于事件证据的路径 SVG；复杂可视化交互后续设计。</w:t>
      </w:r>
    </w:p>
    <w:p>
      <w:pPr>
        <w:pStyle w:val="Heading2"/>
      </w:pPr>
      <w:r>
        <w:t>暂不纳入</w:t>
      </w:r>
    </w:p>
    <w:p>
      <w:r>
        <w:t>前端页面、后端 API、账号、多租户、云端部署和计费不在本期讨论范围。速率常数、Arrhenius 拟合、QM 任务及能垒计算不列入当前核心需求。分子寿命、产率和选择性须另行定义后扩展。</w:t>
      </w:r>
    </w:p>
    <w:p>
      <w:pPr>
        <w:pStyle w:val="Heading2"/>
      </w:pPr>
      <w:r>
        <w:t>成功标准</w:t>
      </w:r>
    </w:p>
    <w:p>
      <w:r>
        <w:t>每个物种统计值应能追溯到分子识别记录，每条反应汇总应能追溯到具体事件，每条观察路径应满足时间顺序和原子对应关系。程序不得把结构规则检查通过等同于科学正确性，也不得把网络中可连通的路线冒充轨迹中观察到的路径。</w:t>
      </w:r>
    </w:p>
    <w:p>
      <w:pPr>
        <w:pStyle w:val="Heading1"/>
        <w:pageBreakBefore/>
      </w:pPr>
      <w:r>
        <w:t>02 输入约定与已核查数据</w:t>
      </w:r>
    </w:p>
    <w:p>
      <w:pPr>
        <w:pStyle w:val="Heading2"/>
      </w:pPr>
      <w:r>
        <w:t>F01 输入与一致性检查</w:t>
      </w:r>
    </w:p>
    <w:p>
      <w:r>
        <w:t>基础输入为 bonds 文件和原子类型到元素的映射。涉及 ps、过滤时窗等物理时间时，必须提供步长、单位及必要的时间段信息；缺少这些信息时只允许按 timestep 工作。</w:t>
      </w:r>
    </w:p>
    <w:p>
      <w:r>
        <w:t>坐标轨迹为增强输入，用于几何核查、原子空间结构及回放。仅做连接、分子数量和原子映射分析时，不应强制要求坐标文件。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要求与用途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ReaxFF bonds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原子 ID、类型、邻接原子、逐键 BO 和 timestep；保留原始字段及文件定位信息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元素映射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显式提供或从配套脚本提取；禁止默认把类型 1、2、3 当作固定元素顺序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时间配置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单位、积分步长、分段或重置说明；不得把输出间隔误当积分步长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坐标轨迹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按 timestep 与原子 ID 对齐；支持声明的坐标类型、盒子与周期边界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可选辅助文件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输入脚本、species、log、初始 data；用于提取配置、交叉核查或关联状态量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力场和 restart 文件不作为常规后处理的强制输入。species 不是重建分子图的必要来源；与其比较时，应先对齐阈值、输出时间和键级平均方式。[1][2]</w:t>
      </w:r>
    </w:p>
    <w:p>
      <w:pPr>
        <w:pStyle w:val="Heading2"/>
      </w:pPr>
      <w:r>
        <w:t>本轮核查的数据基准</w:t>
      </w:r>
    </w:p>
    <w:p>
      <w:r>
        <w:t>下表记录本轮讨论中于 2026年9月14日直接扫描文件和读取配套脚本得到的结果，仅作为已检查样本的事实，不代表所有未来输入。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0.9d3000 样本结果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bonds 路径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D:\cellulose\0.9d3000\bonds.reax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文件大小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4,424,628,012 字节，约 4.42 GB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原子数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首帧 10,330 个；完整性需在分析时逐帧检查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积分步长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units real，timestep 0.2，即 0.2 fs／步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保存间隔与帧数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1000 步，即 0.2 ps；5001 帧，含初始帧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timestep 范围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0 至 5,000,000，覆盖 1000 ps，即 1 ns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坐标与输出截断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配套 combustion.lammpstrj 同为 5001 帧且时间步一致；bonds 头部输出截断 0.300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0.9d2250、0.9d2500、0.9d2750 的 bonds 同样扫描得到 5001 帧、间隔 1000 步。此处不据此推定这些组的全部物理配置一致。</w:t>
      </w:r>
    </w:p>
    <w:p>
      <w:pPr>
        <w:pStyle w:val="Heading2"/>
      </w:pPr>
      <w:r>
        <w:t>异常处理</w:t>
      </w:r>
    </w:p>
    <w:p>
      <w:r>
        <w:t>检测重复原子、缺失映射、时间倒退、重复帧、损坏或截断帧、未声明的原子增删。错误帧不得静默当作空体系。跨损坏帧不自动生成反应；分段或缺帧时标记时间缺口。坐标缺失只关闭对应几何能力，不凭行号错配数据。</w:t>
      </w:r>
    </w:p>
    <w:p>
      <w:pPr>
        <w:pStyle w:val="Heading1"/>
        <w:pageBreakBefore/>
      </w:pPr>
      <w:r>
        <w:t>03 从连续键级到分子连接</w:t>
      </w:r>
    </w:p>
    <w:p>
      <w:pPr>
        <w:pStyle w:val="Heading2"/>
      </w:pPr>
      <w:r>
        <w:t>F02 键数据读取</w:t>
      </w:r>
    </w:p>
    <w:p>
      <w:r>
        <w:t>bonds 中的 bo_1 至 bo_nb 是与邻接原子一一对应的 ReaxFF 连续 bond order；abo 为原子总键级，不代替某一对原子的 BO。连续 BO 不等于结构式中的单键、双键和三键。[1]</w:t>
      </w:r>
    </w:p>
    <w:p>
      <w:r>
        <w:t>同一原子对用排序后的两个原子 ID 作为键。双向记录需核查一致性，允许的数值差异和合并方式列入配置。保留原始值，禁止无诊断地覆盖冲突。缺失记录与精确 BO 为零必须区分。</w:t>
      </w:r>
    </w:p>
    <w:p>
      <w:pPr>
        <w:pStyle w:val="Heading2"/>
      </w:pPr>
      <w:r>
        <w:t>F03 连接状态判定</w:t>
      </w:r>
    </w:p>
    <w:p>
      <w:r>
        <w:t>基础比较方案为单阈值：BO 大于连接阈值时建立连接，否则不连接。LAMMPS species 的默认 cutoff 为 0.3，可按原子类型对配置；它是比较基线，不是已为本项目验证的最优参数。[2]</w:t>
      </w:r>
    </w:p>
    <w:p>
      <w:r>
        <w:t>拟定增强方案为成断键双阈值，成键阈值应大于断键阈值。对正常且完整的保存帧，更新规则如下。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35"/>
        <w:gridCol w:w="498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上一帧状态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当前条件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新状态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不连接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BO ≥ 成键阈值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连接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不连接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未达到成键阈值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不连接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已连接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BO ≤ 断键阈值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不连接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已连接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尚未降到断键阈值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保持连接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初始帧必须显式规定初始化阈值；拟用成键阈值初始化并记录策略。成键 0.50、断键 0.35 仅为讨论示例，不作为正式默认参数。</w:t>
      </w:r>
    </w:p>
    <w:p>
      <w:r>
        <w:t>当完整文件因输出截断而没有某原子对记录时，可以利用已知截断界限推理；不能声称读到了 BO＝0。断键阈值若低于可观察的输出下限，该区域无法可靠判定，应拒绝此配置或进入显式不确定状态。帧损坏与正常截断缺失必须分开处理。</w:t>
      </w:r>
    </w:p>
    <w:p>
      <w:r>
        <w:t>按 C—C、C—H、C—O、O—H 等元素对比较候选阈值，核查敏感结构、BO 与几何变化。不得为得到预期关键产物而单独放宽其判据。是否增加持续时间确认，需评估与后续往返过滤的叠加影响。</w:t>
      </w:r>
    </w:p>
    <w:p>
      <w:pPr>
        <w:pStyle w:val="Heading2"/>
      </w:pPr>
      <w:r>
        <w:t>F04 分子实例识别</w:t>
      </w:r>
    </w:p>
    <w:p>
      <w:r>
        <w:t>原子作为节点、接受的连接作为边，利用连通分量识别每帧分子；孤立原子保留。分子实例记录帧、原子集合、分子式、连接图、原始 BO 和诊断信息。</w:t>
      </w:r>
    </w:p>
    <w:p>
      <w:r>
        <w:t>分子实例是某一帧的一组具体原子；化学物种是按结构规则归并的类别。实例 ID 应带帧或唯一记录标识，不把逐帧重新编号当作持续身份。跨帧追踪由原子对应关系完成。</w:t>
      </w:r>
    </w:p>
    <w:p>
      <w:pPr>
        <w:pStyle w:val="Heading1"/>
        <w:pageBreakBefore/>
      </w:pPr>
      <w:r>
        <w:t>04 化学键类型与电子状态推断</w:t>
      </w:r>
    </w:p>
    <w:p>
      <w:pPr>
        <w:pStyle w:val="Heading2"/>
      </w:pPr>
      <w:r>
        <w:t>F05 联合结构推断</w:t>
      </w:r>
    </w:p>
    <w:p>
      <w:r>
        <w:t>固定已接受的连接和实际原子组成，再联合推断单键、双键、三键、形式电荷与自由基状态。不得将 ReaxFF BO 直接四舍五入作为最终化学键类型，也不得为满足价态补入未观察到的氢。</w:t>
      </w:r>
    </w:p>
    <w:p>
      <w:r>
        <w:t>拟定方法为约束候选搜索：先给连接分配基础单键；在所声明的元素价态和电子状态模型下，提高部分键的类型并检查整个分子的约束。存在多个有效组合时保留候选，结合 BO、局部几何及相邻帧证据排序。具体搜索器、代价函数和接受阈值待验证。[3][4]</w:t>
      </w:r>
    </w:p>
    <w:p>
      <w:pPr>
        <w:pStyle w:val="Heading2"/>
      </w:pPr>
      <w:r>
        <w:t>双键判定示例</w:t>
      </w:r>
    </w:p>
    <w:p>
      <w:r>
        <w:t>对于碳连接两个 H 和一个 O 的 CH2O，在中性闭壳层假设下，两条 C—H 各为单键。C—O 设为单键时不能满足该假设下的 C 和 O 价态，设为双键时两端同时满足，得到甲醛候选。该结论依赖连接与电子状态假设，不能外推为所有 C—O 的通用 BO 阈值。</w:t>
      </w:r>
    </w:p>
    <w:p>
      <w:r>
        <w:t>对于 H3C—CH3、H2C—CH2、HC—CH，在相应中性闭壳层假设下，C—C 分别可分配为单键、双键、三键。决定因素包括氢的实际邻接位置和两端完整配位环境。</w:t>
      </w:r>
    </w:p>
    <w:p>
      <w:pPr>
        <w:pStyle w:val="Heading2"/>
      </w:pPr>
      <w:r>
        <w:t>CH3 的约束案例</w:t>
      </w:r>
    </w:p>
    <w:p>
      <w:r>
        <w:t>一个 C 连接三个 H 时，三条 C—H 为普通单键，不能通过给 C—H 加双键使碳补满四价。片段若电中性，7 个价电子中 6 个用于三条键，余下一个未配对电子，对应甲基自由基候选 [CH3]。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片段电子状态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同一连接图的候选解释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总电荷 0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CH3 自由基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总电荷 +1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CH3 正离子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总电荷 −1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CH3 负离子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ReaxFF 部分电荷 q 不能逐原子四舍五入成形式电荷；体系电中性也不能证明每个片段电中性。电子状态未知时，记录采用的假设及候选，不虚构唯一结论。</w:t>
      </w:r>
    </w:p>
    <w:p>
      <w:pPr>
        <w:pStyle w:val="Heading2"/>
      </w:pPr>
      <w:r>
        <w:t>几何与一致性检查</w:t>
      </w:r>
    </w:p>
    <w:p>
      <w:r>
        <w:t>坐标用于检查键长、局部构型及候选冲突，必须正确处理周期边界。共轭、芳香和共振在分子整体上判断，不能仅凭 BO 接近 1.5 赋芳香键。时间信息用于诊断孤立跳变，不能强制抹平真实结构变化。</w:t>
      </w:r>
    </w:p>
    <w:p>
      <w:r>
        <w:t>首版拟优先验证与当前数据相关的 CHO 体系；其他元素、复杂电子态或超出规则能力的结构仍保留原始图并标记。单一合法候选也只表示规则下得到支持，不是量子化学验证。</w:t>
      </w:r>
    </w:p>
    <w:p>
      <w:pPr>
        <w:pStyle w:val="Heading1"/>
        <w:pageBreakBefore/>
      </w:pPr>
      <w:r>
        <w:t>05 物种身份与关键产物</w:t>
      </w:r>
    </w:p>
    <w:p>
      <w:pPr>
        <w:pStyle w:val="Heading2"/>
      </w:pPr>
      <w:r>
        <w:t>F06 结构检查和标识生成</w:t>
      </w:r>
    </w:p>
    <w:p>
      <w:r>
        <w:t>利用 RDKit 等工具检查价态、环和芳香性，核对转换前后的元素数、氢数和邻接关系。工具检查通过不等于结构推断正确。[3]</w:t>
      </w:r>
    </w:p>
    <w:p>
      <w:r>
        <w:t>在明确的氢、电荷、自由基和立体信息规则下生成 canonical SMILES，同时尝试生成 InChI 和 InChIKey。生成失败时保留结构图及原因；SMILES 成功与 InChI 成功分别记录。</w:t>
      </w:r>
    </w:p>
    <w:p>
      <w:r>
        <w:t>拟定状态为 supported、ambiguous、unresolved，并另设标识符生成状态。supported 表示在本次规则及假设下获得支持，不能解释为实验确认；不得在未校准时输出貌似统计概率的置信度。</w:t>
      </w:r>
    </w:p>
    <w:p>
      <w:pPr>
        <w:pStyle w:val="Heading2"/>
      </w:pPr>
      <w:r>
        <w:t>物种归并</w:t>
      </w:r>
    </w:p>
    <w:p>
      <w:r>
        <w:t>用于归并的标识不包含模拟原子 ID；原子映射另存。相同规则下结构一致的不同实例归入同一 species_id。分子式相同不足以归并：乙醇 CCO 与二甲醚 COC 均为 C2H6O，但应区分。</w:t>
      </w:r>
    </w:p>
    <w:p>
      <w:r>
        <w:t>拟以固定规则和版本下的 canonical SMILES 为结构索引，保留 InChI 辅助匹配。共振、互变异构、质子化状态、立体异构和不确定候选的归并政策需单独确认。不得仅用 InChIKey 覆盖结构状态层；标识不一致时进入诊断。</w:t>
      </w:r>
    </w:p>
    <w:p>
      <w:r>
        <w:t>缓存键必须包含影响结构推断的键类型、电子状态假设、标准化策略和版本；仅按原子集合或无键类型连接图缓存，可能错误复用不同结构。</w:t>
      </w:r>
    </w:p>
    <w:p>
      <w:pPr>
        <w:pStyle w:val="Heading2"/>
      </w:pPr>
      <w:r>
        <w:t>F07 关键产物匹配</w:t>
      </w:r>
    </w:p>
    <w:p>
      <w:r>
        <w:t>关键产物清单可在分析前配置。程序先按统一规则识别全部分子，再匹配目标，不能只寻找目标而丢失其他前体。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35"/>
        <w:gridCol w:w="498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目标类型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匹配依据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结果解释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分子式产物池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元素组成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例如 C6H6O3，不能直接命名为 HMF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具体结构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经确认的目标结构与统一标准化规则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例如甲基自由基 [CH3] 或指定 HMF 结构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结构类别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结构片段或明确的分类规则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例如含指定呋喃环特征的产物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目标可重叠，同一实例命中多个类别时需注明；汇总类别之和不能自动当作总分子数。对存在歧义的结构输出候选命中，不计入具体结构的 supported 命中数。元素组成可靠时仍可进入相应分子式池。</w:t>
      </w:r>
    </w:p>
    <w:p>
      <w:r>
        <w:t>记录 target_id、命中规则、实例 ID、species_id、时间、原子集合及匹配状态。目标清单和结构标准化规则必须随运行保存，允许后续基于保留的数据重做匹配。</w:t>
      </w:r>
    </w:p>
    <w:p>
      <w:pPr>
        <w:pStyle w:val="Heading1"/>
        <w:pageBreakBefore/>
      </w:pPr>
      <w:r>
        <w:t>06 候选反应事件识别</w:t>
      </w:r>
    </w:p>
    <w:p>
      <w:pPr>
        <w:pStyle w:val="Heading2"/>
      </w:pPr>
      <w:r>
        <w:t>F08 原子映射与事件分组</w:t>
      </w:r>
    </w:p>
    <w:p>
      <w:r>
        <w:t>比较相邻有效帧的连接集合：旧帧有而新帧无的连接记为断键，新帧有而旧帧无的连接记为成键。已确认的化学键类型变化另外记录。电子状态推断改变与真实连接变化须分字段保存，不直接混算。</w:t>
      </w:r>
    </w:p>
    <w:p>
      <w:r>
        <w:t>构建前后帧分子之间的对应图：两帧分子共享原子 ID 时建立关联。对相互关联且结构发生变化的分子分组形成候选事件，保留所有参与者和计量系数。同一大型分子内多个变化可能被合成一个粗粒度事件，应标记，后续再研究细分方法。</w:t>
      </w:r>
    </w:p>
    <w:p>
      <w:pPr>
        <w:pStyle w:val="Heading2"/>
      </w:pPr>
      <w:r>
        <w:t>原子追踪示例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时刻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分子实例与原子组成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变化前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CH4 为 C1 H2 H3 H4 H5；OH 为 O6 H7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变化后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CH3 为 C1 H2 H3 H4；H2O 为 O6 H7 H5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对应变化为断 C1—H5、成 O6—H5，候选反应为 CH4 + OH → CH3 + H2O。氢 H5 的对应关系为事件提供证据；仅观察数量变化不足以建立此原子路径。自由基标注依赖上一步电子状态判定。</w:t>
      </w:r>
    </w:p>
    <w:p>
      <w:pPr>
        <w:pStyle w:val="Heading2"/>
      </w:pPr>
      <w:r>
        <w:t>时间与守恒约束</w:t>
      </w:r>
    </w:p>
    <w:p>
      <w:r>
        <w:t>事件时间记录为前后保存帧构成的区间，不能宣称精确发生在后一帧。0.2 ps 间隔内可能包含多步反应，因此输出称为观察到的候选净结构变化，不自动标为基元反应。</w:t>
      </w:r>
    </w:p>
    <w:p>
      <w:r>
        <w:t>事件前后应核查原子 ID 与元素多重集合守恒。若存在模拟中显式插入、删除原子或不完整输入，应分段或按边界事件处理，不能凭空归成化学反应。缺失帧之间的长跨度变化应标记或禁用默认事件识别。</w:t>
      </w:r>
    </w:p>
    <w:p>
      <w:pPr>
        <w:pStyle w:val="Heading2"/>
      </w:pPr>
      <w:r>
        <w:t>原子交换与不确定结构</w:t>
      </w:r>
    </w:p>
    <w:p>
      <w:r>
        <w:t>反应前后物种类别相同但原子发生交换时，物种级净变化可能为零；原子级事件仍应保留。不得通过过早消去两侧相同物种丢掉交换或催化参与证据。</w:t>
      </w:r>
    </w:p>
    <w:p>
      <w:r>
        <w:t>若分子连接变化可靠但 SMILES 不确定，保留原子级事件与候选身份。候选不确定性向反应汇总和路径传播；不将其与具体已支持结构的计数混合。</w:t>
      </w:r>
    </w:p>
    <w:p>
      <w:r>
        <w:t>每个事件至少保存 event_id、前后帧、时间区间、反应物与产物实例、结构变化、原子映射、诊断和筛选状态。</w:t>
      </w:r>
    </w:p>
    <w:p>
      <w:pPr>
        <w:pStyle w:val="Heading1"/>
        <w:pageBreakBefore/>
      </w:pPr>
      <w:r>
        <w:t>07 往返标记与事件筛选</w:t>
      </w:r>
    </w:p>
    <w:p>
      <w:pPr>
        <w:pStyle w:val="Heading2"/>
      </w:pPr>
      <w:r>
        <w:t>F09 保留原始事件</w:t>
      </w:r>
    </w:p>
    <w:p>
      <w:r>
        <w:t>原始候选事件不可因过滤永久删除。筛选结果以独立状态、规则版本和原因记录，允许对同一原始事件集应用不同窗口并重新汇总。事件过滤不隐式重写原始逐帧物种数量。</w:t>
      </w:r>
    </w:p>
    <w:p>
      <w:pPr>
        <w:pStyle w:val="Heading2"/>
      </w:pPr>
      <w:r>
        <w:t>短时往返判据</w:t>
      </w:r>
    </w:p>
    <w:p>
      <w:r>
        <w:t>在配置窗口内追踪同一批原子。只有相关事件链的原子连接及可判定的结构状态恢复到起点，才标记为往返候选。反应式互为正逆但属于不同原子组时，不得相互抵消。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35"/>
        <w:gridCol w:w="498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示例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拟定处理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两步返回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A → B → A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检查原子与结构恢复后标记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多步返回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A → B → C → A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检查完整相关事件链后标记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短暂中间体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A → B → C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不因 B 只出现一帧就按往返删除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信息不足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接近轨迹边界或后续帧缺失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标记边界不足，不当作已证实无往返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链的检查范围须包含参与的全部原子与对外连接。若与其他事件耦合，先保证原子闭合和证据完整，再决定是否分组。重叠往返组的消歧、窗口锚点和部分组过滤策略均需确定并测试。</w:t>
      </w:r>
    </w:p>
    <w:p>
      <w:r>
        <w:t>为使首版比较可复现，拟用“起始参考帧至恢复帧”的保存时间跨度定义窗口；例如 0.0、0.2、0.4 ps 的 A、B、A，观察返回跨度为 0.4 ps，不据此声称 B 的精确寿命。</w:t>
      </w:r>
    </w:p>
    <w:p>
      <w:pPr>
        <w:pStyle w:val="Heading2"/>
      </w:pPr>
      <w:r>
        <w:t>科学解释边界</w:t>
      </w:r>
    </w:p>
    <w:p>
      <w:r>
        <w:t>短时恢复可能来自识别波动，也可能是真实正逆过程。因此标签为“符合所设往返规则”，不直接称为假反应。时间稳定性过滤可参考既有工具，但本项目窗口需独立验证。[5]</w:t>
      </w:r>
    </w:p>
    <w:p>
      <w:r>
        <w:t>0.2 ps 的保存间隔不能支持更细时间分辨率的观察。只出现一个保存帧不等于寿命恰为 0.2 ps；首末帧持续存在的分子还存在观察边界问题。</w:t>
      </w:r>
    </w:p>
    <w:p>
      <w:pPr>
        <w:pStyle w:val="Heading2"/>
      </w:pPr>
      <w:r>
        <w:t>拟定默认行为</w:t>
      </w:r>
    </w:p>
    <w:p>
      <w:r>
        <w:t>初版先保留全部候选并输出往返标记，再比较不同窗口下的反应数、关键产物和路径变化。正式默认窗口待敏感性验证后决定。连接层滞后与事件层过滤应联合评估，避免重复过滤过强。</w:t>
      </w:r>
    </w:p>
    <w:p>
      <w:r>
        <w:t>筛选字段至少包含 selection_status、filter_reason、filter_group、filter_policy_id。原始事件计数、筛选后计数和未决计数分别提供。</w:t>
      </w:r>
    </w:p>
    <w:p>
      <w:pPr>
        <w:pStyle w:val="Heading1"/>
        <w:pageBreakBefore/>
      </w:pPr>
      <w:r>
        <w:t>08 反应网络与观察路径</w:t>
      </w:r>
    </w:p>
    <w:p>
      <w:pPr>
        <w:pStyle w:val="Heading2"/>
      </w:pPr>
      <w:r>
        <w:t>F10 反应汇总</w:t>
      </w:r>
    </w:p>
    <w:p>
      <w:r>
        <w:t>以 species_id 和计量系数定义反应物、产物多重集合，聚合同类事件；原子 ID 不用于反应类别归并，但通过 event_id 保留。正向与逆向分别记录，必要时归入同一 reversible_group。</w:t>
      </w:r>
    </w:p>
    <w:p>
      <w:r>
        <w:t>例如正向 3 次、逆向 1 次，可报告净事件次数 2。该数值不是速率常数或路径概率；比较时必须使用相同筛选规则。2H → H2 的计量系数不得因集合去重而丢失。</w:t>
      </w:r>
    </w:p>
    <w:p>
      <w:r>
        <w:t>网络采用物种节点与反应节点或等价超边表示，保留共同反应物、产物和系数。原子交换而物种净变化为零的事件保留在明细中，网络是否显示为自循环由显式选项控制。</w:t>
      </w:r>
    </w:p>
    <w:p>
      <w:pPr>
        <w:pStyle w:val="Heading2"/>
      </w:pPr>
      <w:r>
        <w:t>F11 关键产物生成路径</w:t>
      </w:r>
    </w:p>
    <w:p>
      <w:r>
        <w:t>以目标产物的具体生成实例为起点，定位其生成事件，再根据原子 ID 找到前体及更早事件。观察路径必须满足时间顺序和原子来源对应，允许分支与汇合。</w:t>
      </w:r>
    </w:p>
    <w:p>
      <w:r>
        <w:t>仅在汇总网络中连通的路线称为“网络候选路线”，不得与观察路径混用。多个时间点重复看到同一产物，不得自动计为多次生成。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模式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追踪含义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完整原子来源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追踪目标中的 C、H、O 等原子来源，保留相关共同反应物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目标碳来源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追踪最终进入目标产物的碳原子经历的结构，仍可回查完整事件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路径停止于初始帧、记录缺口、未决身份或配置的深度和时间边界，需逐条记录原因。完整原子追踪允许在身份不确定处继续追踪连接证据，同时保留该节点歧义。</w:t>
      </w:r>
    </w:p>
    <w:p>
      <w:pPr>
        <w:pStyle w:val="Heading2"/>
      </w:pPr>
      <w:r>
        <w:t>路径归并与排序</w:t>
      </w:r>
    </w:p>
    <w:p>
      <w:r>
        <w:t>先形成实例级路径，再依据物种、计量关系、事件顺序和分支结构进行归并。去除模拟原子编号不能破坏所选追踪模式的原子流向关系。共振表示和结构假设不同的路径如何合并需服从统一物种规则。</w:t>
      </w:r>
    </w:p>
    <w:p>
      <w:r>
        <w:t>优先报告“该路径类型对应的目标生成事件数”和目标分子实例数，并说明同一生成事件是否属于多个路径类型。不能把各反应边次数相乘作为路径概率，也不能声称最高次数路径就是唯一机理。</w:t>
      </w:r>
    </w:p>
    <w:p>
      <w:pPr>
        <w:pStyle w:val="Heading2"/>
      </w:pPr>
      <w:r>
        <w:t>路径 SVG</w:t>
      </w:r>
    </w:p>
    <w:p>
      <w:r>
        <w:t>SVG 应展示物种或结构、反应方向、必要的共同参与物、观察次数及歧义标记，并携带对应路径或事件 ID。不绘制未经观察证据支持的机制箭头；布局与交互编辑细节后续定义。</w:t>
      </w:r>
    </w:p>
    <w:p>
      <w:pPr>
        <w:pStyle w:val="Heading1"/>
        <w:pageBreakBefore/>
      </w:pPr>
      <w:r>
        <w:t>09 核心输出与数据关系</w:t>
      </w:r>
    </w:p>
    <w:p>
      <w:r>
        <w:t>以下文件名和字段为拟定数据契约。CSV 用于可比较的行记录，复杂原子映射与分支关系用 JSONL 或 JSON；大数据实例索引的最终存储格式在性能验证后确定。</w:t>
      </w:r>
    </w:p>
    <w:p>
      <w:pPr>
        <w:pStyle w:val="Heading2"/>
      </w:pPr>
      <w:r>
        <w:t>输出一 物种清单</w:t>
      </w:r>
    </w:p>
    <w:p>
      <w:r>
        <w:t>species_registry.csv：每条记录代表一个物种或显式未决结构类别。</w:t>
      </w:r>
    </w:p>
    <w:p>
      <w:r>
        <w:t>字段包括 species_id、formula、canonical_smiles、inchi、inchikey、formal_charge、radical_info、identity_status、identifier_status、assumption_id 和 message。多候选结构放入 identity_candidates.jsonl，并由 candidate_set_id 关联；不能把未决候选伪装成多个已观察分子。</w:t>
      </w:r>
    </w:p>
    <w:p>
      <w:pPr>
        <w:pStyle w:val="Heading2"/>
      </w:pPr>
      <w:r>
        <w:t>输出二 物种数量时间序列</w:t>
      </w:r>
    </w:p>
    <w:p>
      <w:r>
        <w:t>species_timeseries.csv：每条记录包含 frame_id、timestep、time_ps、species_id、count 和统计视图。建议采用长表，并声明零值省略策略和有效帧清单；缺失帧不等于零数量。</w:t>
      </w:r>
    </w:p>
    <w:p>
      <w:r>
        <w:t>以逐帧识别结果为基础输出，事件往返筛选不改变原始数量。若增加时间平滑或重新分配身份的视图，应独立命名并记录算法来源。</w:t>
      </w:r>
    </w:p>
    <w:p>
      <w:pPr>
        <w:pStyle w:val="Heading2"/>
      </w:pPr>
      <w:r>
        <w:t>输出三 物种统计摘要</w:t>
      </w:r>
    </w:p>
    <w:p>
      <w:r>
        <w:t>species_summary.csv：输出初始数量、末帧数量、最大同时数量、出现帧数、有效统计帧数、出现帧比例、逐帧数量累加值。生成与消耗分子数按事件及计量系数计算，区分原始、筛选和未决视图。</w:t>
      </w:r>
    </w:p>
    <w:p>
      <w:pPr>
        <w:pStyle w:val="Heading2"/>
      </w:pPr>
      <w:r>
        <w:t>输出四 反应事件明细</w:t>
      </w:r>
    </w:p>
    <w:p>
      <w:r>
        <w:t>reaction_events.jsonl 为完整记录；reaction_events.csv 为便于查看的平面摘要。每条包含 event_id、时间区间、前后帧、反应物与产物实例、断键成键、键类型变化、原子映射、身份诊断及过滤标记。两种文件的 event_id 必须一致。</w:t>
      </w:r>
    </w:p>
    <w:p>
      <w:pPr>
        <w:pStyle w:val="Heading2"/>
      </w:pPr>
      <w:r>
        <w:t>输出五 反应汇总与网络</w:t>
      </w:r>
    </w:p>
    <w:p>
      <w:r>
        <w:t>reaction_summary.csv 包含 reaction_id、反应物与产物系数、方向或正逆组、原始次数、筛选次数及时间范围。reaction_network.json 保存物种节点、反应节点和计量关系。事件到反应类别的索引另存，避免重复复制大量明细。</w:t>
      </w:r>
    </w:p>
    <w:p>
      <w:pPr>
        <w:pStyle w:val="Heading2"/>
      </w:pPr>
      <w:r>
        <w:t>输出六 关键产物生成路径</w:t>
      </w:r>
    </w:p>
    <w:p>
      <w:r>
        <w:t>target_matches.csv 保存逐实例命中；target_pathways.jsonl 保存生成实例、事件链、原子来源、模式、停止原因和不确定性；pathway_summary.csv 汇总路径类型及观察次数。路径 SVG 与路径 ID 一一关联。</w:t>
      </w:r>
    </w:p>
    <w:p>
      <w:pPr>
        <w:pStyle w:val="Heading2"/>
      </w:pPr>
      <w:r>
        <w:t>追溯支撑记录</w:t>
      </w:r>
    </w:p>
    <w:p>
      <w:r>
        <w:t>需要保留 molecule_instances 及实例内部图的可检索记录，至少能从 frame_id 与 instance_id 获取原子集合和结构来源。仅输出 species_id 数量无法支撑原子追踪。run_manifest.json、frame_index 和 diagnostics 记录配置、帧定位及异常。</w:t>
      </w:r>
    </w:p>
    <w:p>
      <w:r>
        <w:t>关系链为 run_id → frame_id → instance_id → species_id；event_id 连接前后实例；reaction_id 聚合事件；path_id 引用事件链。ID 应在一次运行内唯一并稳定，不要求不同配置运行间盲目复用。</w:t>
      </w:r>
    </w:p>
    <w:p>
      <w:pPr>
        <w:pStyle w:val="Heading1"/>
        <w:pageBreakBefore/>
      </w:pPr>
      <w:r>
        <w:t>10 指标定义与计算边界</w:t>
      </w:r>
    </w:p>
    <w:p>
      <w:r>
        <w:t>以五个有效保存帧中某物种数量依次为 0、1、1、1、0 为例。下列指标必须分列，不能使用一个“累计数量”字段混合表达。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4025"/>
        <w:gridCol w:w="3458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定义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示例或边界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当前帧数量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该帧归入物种的实例数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0、1、1、1、0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最大同时数量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全部有效帧数量最大值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出现帧数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数量大于零的有效帧数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出现帧比例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出现帧数除以有效统计帧数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3／5，等于 60%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逐帧数量累加值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对有效帧数量求和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3 分子·帧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生成分子数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生成事件中该物种产物系数累计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需查事件，不能由出现帧数代替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消耗分子数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消耗事件中该物种反应物系数累计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分别报告原始与筛选视图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若三帧里的实例是同一分子，则可能只发生一次生成。即使每帧数量相同，也可能存在分子同时生成和消耗，必须用原子实例和事件区分。初始存在量不计入模拟期间生成量。</w:t>
      </w:r>
    </w:p>
    <w:p>
      <w:r>
        <w:t>“逐帧数量累加值”是采样依赖量，不是独立分子总数、产率或时间积分。不同保存频率的数据不能直接比较此值。出现帧比例描述被分析轨迹的采样情况，不解释为一般反应概率。</w:t>
      </w:r>
    </w:p>
    <w:p>
      <w:pPr>
        <w:pStyle w:val="Heading2"/>
      </w:pPr>
      <w:r>
        <w:t>身份和筛选口径</w:t>
      </w:r>
    </w:p>
    <w:p>
      <w:r>
        <w:t>分子式池、具体结构物种及结构类别分别统计，重叠目标不重复解释为互斥总量。身份歧义、转换失败、未知组成各有独立标记；只有组成可信的未决结构才能进入相应分子式池。</w:t>
      </w:r>
    </w:p>
    <w:p>
      <w:r>
        <w:t>原始事件和原始数量在完整、封闭、同口径条件下可做收支检查。过滤后事件不能自动要求与未修改的逐帧数量严格收支一致，必须先说明过滤语义。物种级两侧相同但原子交换的事件保留 gross 参与记录，净数量变化单独计算。</w:t>
      </w:r>
    </w:p>
    <w:p>
      <w:pPr>
        <w:pStyle w:val="Heading2"/>
      </w:pPr>
      <w:r>
        <w:t>暂不作最终定义的指标</w:t>
      </w:r>
    </w:p>
    <w:p>
      <w:r>
        <w:t>精确分子寿命需要持续身份规则和边界处理；仅能先记录观察帧区间。产率、选择性需要明确分母、原子来源及计量基准。路径概率需要定义样本空间和归属规则。以上均不由首版基础字段自动冒充生成。</w:t>
      </w:r>
    </w:p>
    <w:p>
      <w:pPr>
        <w:pStyle w:val="Heading2"/>
      </w:pPr>
      <w:r>
        <w:t>输出格式与运行记录</w:t>
      </w:r>
    </w:p>
    <w:p>
      <w:r>
        <w:t>记录编码、缺失值表示、单位、schema_version 和零值策略。嵌套结构不使用无法解析的任意拼接文本。run_manifest 保存输入指纹或校验策略、文件大小、映射、时间配置、阈值、过滤方案、结构标准化规则、依赖版本、运行状态与诊断摘要。</w:t>
      </w:r>
    </w:p>
    <w:p>
      <w:pPr>
        <w:pStyle w:val="Heading1"/>
        <w:pageBreakBefore/>
      </w:pPr>
      <w:r>
        <w:t>11 验收与运行要求</w:t>
      </w:r>
    </w:p>
    <w:p>
      <w:r>
        <w:t>以下为实施后的验收要求，不代表本 PRD 编写时已执行。玩具案例验证算法行为，真实数据验证格式、性能和适用边界，两者不可替代。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2608"/>
        <w:gridCol w:w="6180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验收场景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通过条件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A01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已核查样本的输入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扫描得到 5001 帧与固定间隔；时间配置换算一致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A02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连接阈值边界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单／双阈值、初始化、缺失 BO 与损坏帧均符合声明规则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A03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静态分子与孤立原子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实例划分完整，静态多帧不产生连接变化事件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A04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CH3 与 CH2O 案例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不补氢；CH3 电子假设显式；CH2O 在指定假设下给出双键候选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A05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结构与身份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乙醇与二甲醚区分；更换模拟原子 ID 不改变物种归并结果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A06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氢转移事件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正确记录断 C1—H5 与成 O6—H5，参与原子与计量守恒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A07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往返与短寿命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同原子返回可标记；不同原子逆反应不抵消；A→B→C 不按往返删除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A08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计量与交换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保留 2H 的系数；物种净变化为零时仍能记录原子交换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A09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观察路径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拒绝时间倒置或原子来源不匹配的拼接；支持分支与汇合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A10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异常与追溯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结构转换失败仍保留图与事件；汇总 ID 可回查原始帧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A11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敏感性验证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比较阈值和窗口变化，解释关键物种、事件及路径差异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A12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真实文件运行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约 4.42 GB 文件可完整处理；记录耗时、峰值内存及输出体积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流式处理</w:t>
      </w:r>
    </w:p>
    <w:p>
      <w:r>
        <w:t>不一次性读取全部原始轨迹。解析器逐帧提供数据，连接状态与事件检测保留必要上下文；时间窗口受配置约束。长期原子路径和实例数据应写入可检索存储，不能为了后续追踪把全部帧常驻内存。</w:t>
      </w:r>
    </w:p>
    <w:p>
      <w:r>
        <w:t>缓存按唯一结构及完整推断条件使用，设置容量或落盘策略。窗口大小、唯一物种数量和路径分支都可能影响内存，禁止只宣称“流式所以恒定内存”。当前不承诺未经基准测定的秒级速度或固定内存上限。</w:t>
      </w:r>
    </w:p>
    <w:p>
      <w:pPr>
        <w:pStyle w:val="Heading2"/>
      </w:pPr>
      <w:r>
        <w:t>失败与复现</w:t>
      </w:r>
    </w:p>
    <w:p>
      <w:r>
        <w:t>失败或中断输出须标为 incomplete，不冒充完整网络。复算或未来续算必须校验配置与输入身份；不同参数结果分别保存，不覆盖原始文件。断点续算、存储后端及路径规模限制列为待决技术项。</w:t>
      </w:r>
    </w:p>
    <w:p>
      <w:pPr>
        <w:pStyle w:val="Heading2"/>
      </w:pPr>
      <w:r>
        <w:t>分阶段交付</w:t>
      </w:r>
    </w:p>
    <w:p>
      <w:r>
        <w:t>第一阶段验证输入、连接与分子实例；第二阶段验证结构身份、关键产物和事件；第三阶段完成筛选、网络、路径及输出契约；最后运行真实数据与敏感性验收。每阶段交付可运行内核和证据，再进入下一阶段，不以页面开发替代算法验收。</w:t>
      </w:r>
    </w:p>
    <w:p>
      <w:pPr>
        <w:pStyle w:val="Heading1"/>
        <w:pageBreakBefore/>
      </w:pPr>
      <w:r>
        <w:t>12 待决事项与参考资料</w:t>
      </w:r>
    </w:p>
    <w:p>
      <w:pPr>
        <w:pStyle w:val="Heading2"/>
      </w:pPr>
      <w:r>
        <w:t>待决事项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2608"/>
        <w:gridCol w:w="6180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尚需确定的事项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8EEF3"/>
          </w:tcPr>
          <w:p>
            <w:pPr>
              <w:spacing w:after="0" w:line="270" w:lineRule="exact"/>
              <w:snapToGrid w:val="0"/>
            </w:pPr>
            <w:r>
              <w:rPr>
                <w:b/>
                <w:sz w:val="19"/>
              </w:rPr>
              <w:t>决策依据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D01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元素对阈值、初始化和缺失记录策略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BO 与坐标核查、输出截断及敏感性结果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D02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双向 BO 冲突与持续时间确认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文件精度、异常样例及与往返过滤的叠加影响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D03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键类型搜索器与电子状态策略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CHO 实例、自由基／离子样例及歧义处理效果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D04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结构归并与标准化政策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共振、芳香、互变异构、立体及电荷的实际分析目标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D05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关键产物正式清单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分子式池、具体结构和类别目标的科研需求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D06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往返窗口和组冲突处理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原始与筛选事件、目标中间体和路径的敏感性比较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D07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路径停止、归并与排序规则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原子来源模式、分支规模、重复归属与解释性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D08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输出存储及性能目标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真实约 4 GB 数据的内存、耗时与产物规模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  <w:jc w:val="center"/>
            </w:pPr>
            <w:r>
              <w:rPr>
                <w:b w:val="0"/>
                <w:sz w:val="19"/>
              </w:rPr>
              <w:t>D09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寿命、产率与选择性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0" w:lineRule="exact"/>
              <w:snapToGrid w:val="0"/>
            </w:pPr>
            <w:r>
              <w:rPr>
                <w:b w:val="0"/>
                <w:sz w:val="19"/>
              </w:rPr>
              <w:t>身份持续规则、时间边界、分母及原子归属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需求覆盖检查</w:t>
      </w:r>
    </w:p>
    <w:p>
      <w:r>
        <w:t>F01 覆盖输入；F02 至 F04 覆盖 BO、连接与分子划分；F05 至 F07 覆盖化学结构、物种和关键产物；F08 至 F09 覆盖事件与筛选；F10 至 F11 覆盖网络与路径。第 09 至 11 节定义输出、指标与验收。</w:t>
      </w:r>
    </w:p>
    <w:p>
      <w:r>
        <w:t>没有正式确定的参数均不得仅因本 PRD 使用了示例而自动固化。后续决策应记录理由、验证样本、版本以及对已有结果的影响。</w:t>
      </w:r>
    </w:p>
    <w:p>
      <w:pPr>
        <w:pStyle w:val="Heading2"/>
      </w:pPr>
      <w:r>
        <w:t>参考资料</w:t>
      </w:r>
    </w:p>
    <w:p>
      <w:pPr>
        <w:spacing w:line="240" w:lineRule="exact" w:after="60"/>
      </w:pPr>
      <w:r>
        <w:rPr>
          <w:sz w:val="18"/>
        </w:rPr>
        <w:t>以下资料支撑字段定义与可参考的算法能力；本 PRD 中的具体工作流、状态和数据契约为项目拟定方案，不等同于引用工具的原有实现。</w:t>
      </w:r>
    </w:p>
    <w:p>
      <w:pPr>
        <w:keepNext/>
        <w:spacing w:line="240" w:lineRule="exact" w:after="60"/>
      </w:pPr>
      <w:r>
        <w:rPr>
          <w:sz w:val="18"/>
        </w:rPr>
        <w:t>[1] LAMMPS 官方文档　fix reaxff bonds</w:t>
      </w:r>
    </w:p>
    <w:p>
      <w:pPr>
        <w:keepNext/>
        <w:spacing w:after="60" w:line="240" w:lineRule="exact"/>
      </w:pPr>
      <w:r>
        <w:rPr>
          <w:sz w:val="18"/>
        </w:rPr>
        <w:t>https://docs.lammps.org/fix_reaxff_bonds.html</w:t>
      </w:r>
    </w:p>
    <w:p>
      <w:pPr>
        <w:spacing w:line="240" w:lineRule="exact" w:after="60"/>
      </w:pPr>
      <w:r>
        <w:rPr>
          <w:sz w:val="18"/>
        </w:rPr>
        <w:t>用于 BO、abo、原子类型和输出字段定义。</w:t>
      </w:r>
    </w:p>
    <w:p>
      <w:pPr>
        <w:keepNext/>
        <w:spacing w:line="240" w:lineRule="exact" w:after="60"/>
      </w:pPr>
      <w:r>
        <w:rPr>
          <w:sz w:val="18"/>
        </w:rPr>
        <w:t>[2] LAMMPS 官方文档　fix reaxff species</w:t>
      </w:r>
    </w:p>
    <w:p>
      <w:pPr>
        <w:keepNext/>
        <w:spacing w:after="60" w:line="240" w:lineRule="exact"/>
      </w:pPr>
      <w:r>
        <w:rPr>
          <w:sz w:val="18"/>
        </w:rPr>
        <w:t>https://docs.lammps.org/fix_reaxff_species.html</w:t>
      </w:r>
    </w:p>
    <w:p>
      <w:pPr>
        <w:spacing w:line="240" w:lineRule="exact" w:after="60"/>
      </w:pPr>
      <w:r>
        <w:rPr>
          <w:sz w:val="18"/>
        </w:rPr>
        <w:t>用于键级阈值、默认 cutoff 及平均方式说明。</w:t>
      </w:r>
    </w:p>
    <w:p>
      <w:pPr>
        <w:keepNext/>
        <w:spacing w:line="240" w:lineRule="exact" w:after="60"/>
      </w:pPr>
      <w:r>
        <w:rPr>
          <w:sz w:val="18"/>
        </w:rPr>
        <w:t>[3] RDKit 官方文档　The RDKit Book</w:t>
      </w:r>
    </w:p>
    <w:p>
      <w:pPr>
        <w:keepNext/>
        <w:spacing w:after="60" w:line="240" w:lineRule="exact"/>
      </w:pPr>
      <w:r>
        <w:rPr>
          <w:sz w:val="18"/>
        </w:rPr>
        <w:t>https://www.rdkit.org/docs/RDKit_Book.html</w:t>
      </w:r>
    </w:p>
    <w:p>
      <w:pPr>
        <w:spacing w:line="240" w:lineRule="exact" w:after="60"/>
      </w:pPr>
      <w:r>
        <w:rPr>
          <w:sz w:val="18"/>
        </w:rPr>
        <w:t>用于价态检查、自由基和芳香性处理能力及边界。</w:t>
      </w:r>
    </w:p>
    <w:p>
      <w:pPr>
        <w:keepNext/>
        <w:spacing w:line="240" w:lineRule="exact" w:after="60"/>
      </w:pPr>
      <w:r>
        <w:rPr>
          <w:sz w:val="18"/>
        </w:rPr>
        <w:t>[4] xyz2mol 公开实现</w:t>
      </w:r>
    </w:p>
    <w:p>
      <w:pPr>
        <w:keepNext/>
        <w:spacing w:after="60" w:line="240" w:lineRule="exact"/>
      </w:pPr>
      <w:r>
        <w:rPr>
          <w:sz w:val="18"/>
        </w:rPr>
        <w:t>https://github.com/jensengroup/xyz2mol/blob/master/xyz2mol.py</w:t>
      </w:r>
    </w:p>
    <w:p>
      <w:pPr>
        <w:spacing w:line="240" w:lineRule="exact" w:after="60"/>
      </w:pPr>
      <w:r>
        <w:rPr>
          <w:sz w:val="18"/>
        </w:rPr>
        <w:t>用于价态缺额、键类型候选和电荷检查的实现参考。</w:t>
      </w:r>
    </w:p>
    <w:p>
      <w:pPr>
        <w:keepNext/>
        <w:spacing w:line="240" w:lineRule="exact" w:after="60"/>
      </w:pPr>
      <w:r>
        <w:rPr>
          <w:sz w:val="18"/>
        </w:rPr>
        <w:t>[5] ChemTraYzer2 官方文档</w:t>
      </w:r>
    </w:p>
    <w:p>
      <w:pPr>
        <w:keepNext/>
        <w:spacing w:after="60" w:line="240" w:lineRule="exact"/>
      </w:pPr>
      <w:r>
        <w:rPr>
          <w:sz w:val="18"/>
        </w:rPr>
        <w:t>https://www.scm.com/doc/Workflows/ChemTraYzer2/ChemTraYzer2.html</w:t>
      </w:r>
    </w:p>
    <w:p>
      <w:pPr>
        <w:spacing w:line="240" w:lineRule="exact" w:after="60"/>
      </w:pPr>
      <w:r>
        <w:rPr>
          <w:sz w:val="18"/>
        </w:rPr>
        <w:t>用于反应事件和时间稳定性过滤的设计参考。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ReaxFF 分析内核 PRD  ·  v0.1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00" w:lineRule="exact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2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8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300" w:lineRule="exact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ReaxFF 反应分析内核产品需求文档</dc:title>
  <dc:subject>smiletosvg 分析内核需求和验收标准</dc:subject>
  <dc:creator/>
  <cp:keywords>ReaxFF, PRD, SMILES, InChI, reaction network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