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52"/>
          <w:szCs w:val="52"/>
        </w:rPr>
        <w:t xml:space="preserve">ALPHABYTE AI</w:t>
      </w:r>
    </w:p>
    <w:p>
      <w:pPr>
        <w:spacing w:after="60" w:before="0"/>
      </w:pPr>
      <w:r>
        <w:rPr>
          <w:rFonts w:ascii="Arial" w:cs="Arial" w:eastAsia="Arial" w:hAnsi="Arial"/>
          <w:b/>
          <w:bCs/>
          <w:color w:val="2E5FA3"/>
          <w:sz w:val="30"/>
          <w:szCs w:val="30"/>
        </w:rPr>
        <w:t xml:space="preserve">AI Solutions — Internal Reference Guide</w:t>
      </w:r>
    </w:p>
    <w:p>
      <w:pPr>
        <w:pBdr>
          <w:bottom w:val="single" w:color="2E5FA3" w:sz="6" w:space="4"/>
        </w:pBdr>
        <w:spacing w:after="180" w:before="0"/>
      </w:pPr>
      <w:r>
        <w:rPr>
          <w:rFonts w:ascii="Arial" w:cs="Arial" w:eastAsia="Arial" w:hAnsi="Arial"/>
          <w:color w:val="666666"/>
          <w:sz w:val="19"/>
          <w:szCs w:val="19"/>
        </w:rPr>
        <w:t xml:space="preserve">v3.0  ·  April 2026  ·  Confidential  ·  Sales &amp; Delivery Use  ·  alphabyte.ai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HOW TO USE THIS DOCUMENT</w:t>
            </w:r>
          </w:p>
        </w:tc>
      </w:tr>
      <w:tr>
        <w:tc>
          <w:tcPr>
            <w:tcW w:type="dxa" w:w="9360"/>
            <w:tcBorders>
              <w:top w:val="single" w:color="2E5FA3" w:sz="1"/>
              <w:left w:val="single" w:color="2E5FA3" w:sz="1"/>
              <w:bottom w:val="single" w:color="2E5FA3" w:sz="1"/>
              <w:right w:val="single" w:color="2E5FA3" w:sz="1"/>
            </w:tcBorders>
            <w:shd w:fill="EBF4FA" w:val="clear"/>
            <w:tcMar>
              <w:top w:type="dxa" w:w="80"/>
              <w:left w:type="dxa" w:w="140"/>
              <w:bottom w:type="dxa" w:w="80"/>
              <w:right w:type="dxa" w:w="140"/>
            </w:tcMar>
          </w:tcPr>
          <w:p>
            <w:pPr>
              <w:spacing w:after="40" w:before="40"/>
            </w:pPr>
            <w:r>
              <w:rPr>
                <w:rFonts w:ascii="Arial" w:cs="Arial" w:eastAsia="Arial" w:hAnsi="Arial"/>
                <w:b/>
                <w:bCs/>
                <w:color w:val="1F3864"/>
                <w:sz w:val="20"/>
                <w:szCs w:val="20"/>
              </w:rPr>
              <w:t xml:space="preserve">Page 1</w:t>
            </w:r>
            <w:r>
              <w:rPr>
                <w:rFonts w:ascii="Arial" w:cs="Arial" w:eastAsia="Arial" w:hAnsi="Arial"/>
                <w:sz w:val="20"/>
                <w:szCs w:val="20"/>
              </w:rPr>
              <w:t xml:space="preserve">  —  The Four-Track Model · Client Scenarios &amp; Entry Points</w:t>
            </w:r>
          </w:p>
          <w:p>
            <w:pPr>
              <w:spacing w:after="40" w:before="40"/>
            </w:pPr>
            <w:r>
              <w:rPr>
                <w:rFonts w:ascii="Arial" w:cs="Arial" w:eastAsia="Arial" w:hAnsi="Arial"/>
                <w:b/>
                <w:bCs/>
                <w:color w:val="1F3864"/>
                <w:sz w:val="20"/>
                <w:szCs w:val="20"/>
              </w:rPr>
              <w:t xml:space="preserve">Page 2</w:t>
            </w:r>
            <w:r>
              <w:rPr>
                <w:rFonts w:ascii="Arial" w:cs="Arial" w:eastAsia="Arial" w:hAnsi="Arial"/>
                <w:sz w:val="20"/>
                <w:szCs w:val="20"/>
              </w:rPr>
              <w:t xml:space="preserve">  —  Track Detail: Offerings, Scope, Pricing, Deliverables</w:t>
            </w:r>
          </w:p>
          <w:p>
            <w:pPr>
              <w:spacing w:after="40" w:before="40"/>
            </w:pPr>
            <w:r>
              <w:rPr>
                <w:rFonts w:ascii="Arial" w:cs="Arial" w:eastAsia="Arial" w:hAnsi="Arial"/>
                <w:b/>
                <w:bCs/>
                <w:color w:val="1F3864"/>
                <w:sz w:val="20"/>
                <w:szCs w:val="20"/>
              </w:rPr>
              <w:t xml:space="preserve">Page 3</w:t>
            </w:r>
            <w:r>
              <w:rPr>
                <w:rFonts w:ascii="Arial" w:cs="Arial" w:eastAsia="Arial" w:hAnsi="Arial"/>
                <w:sz w:val="20"/>
                <w:szCs w:val="20"/>
              </w:rPr>
              <w:t xml:space="preserve">  —  Packages · Signature Offerings · Sales Reference</w:t>
            </w:r>
          </w:p>
          <w:p>
            <w:pPr>
              <w:spacing w:after="40" w:before="40"/>
            </w:pPr>
            <w:r>
              <w:rPr>
                <w:rFonts w:ascii="Arial" w:cs="Arial" w:eastAsia="Arial" w:hAnsi="Arial"/>
                <w:b/>
                <w:bCs/>
                <w:color w:val="1F3864"/>
                <w:sz w:val="20"/>
                <w:szCs w:val="20"/>
              </w:rPr>
              <w:t xml:space="preserve">Page 4</w:t>
            </w:r>
            <w:r>
              <w:rPr>
                <w:rFonts w:ascii="Arial" w:cs="Arial" w:eastAsia="Arial" w:hAnsi="Arial"/>
                <w:sz w:val="20"/>
                <w:szCs w:val="20"/>
              </w:rPr>
              <w:t xml:space="preserve">  —  Rate Card · Delivery Methodology · Active Proof Points</w:t>
            </w:r>
          </w:p>
        </w:tc>
      </w:tr>
    </w:tbl>
    <w:p>
      <w:pPr>
        <w:spacing w:after="0" w:before="200"/>
      </w:pPr>
      <w:r>
        <w:t xml:space="preserve"/>
      </w:r>
    </w:p>
    <w:p>
      <w:pPr>
        <w:pStyle w:val="Heading1"/>
        <w:shd w:fill="1F3864" w:val="clear"/>
        <w:spacing w:after="140" w:before="280"/>
      </w:pPr>
      <w:r>
        <w:rPr>
          <w:rFonts w:ascii="Arial" w:cs="Arial" w:eastAsia="Arial" w:hAnsi="Arial"/>
          <w:b/>
          <w:bCs/>
          <w:color w:val="FFFFFF"/>
          <w:sz w:val="26"/>
          <w:szCs w:val="26"/>
        </w:rPr>
        <w:t xml:space="preserve">PAGE 1  ·  THE FOUR-TRACK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spacing w:after="10" w:before="60"/>
              <w:jc w:val="center"/>
            </w:pPr>
            <w:r>
              <w:rPr>
                <w:rFonts w:ascii="Arial" w:cs="Arial" w:eastAsia="Arial" w:hAnsi="Arial"/>
                <w:b/>
                <w:bCs/>
                <w:color w:val="D5E8F0"/>
                <w:sz w:val="15"/>
                <w:szCs w:val="15"/>
              </w:rPr>
              <w:t xml:space="preserve">TRACK 1</w:t>
            </w:r>
          </w:p>
          <w:p>
            <w:pPr>
              <w:spacing w:after="60" w:before="0"/>
              <w:jc w:val="center"/>
            </w:pPr>
            <w:r>
              <w:rPr>
                <w:rFonts w:ascii="Arial" w:cs="Arial" w:eastAsia="Arial" w:hAnsi="Arial"/>
                <w:b/>
                <w:bCs/>
                <w:color w:val="FFFFFF"/>
                <w:sz w:val="26"/>
                <w:szCs w:val="26"/>
              </w:rPr>
              <w:t xml:space="preserve">Discovery</w:t>
            </w:r>
          </w:p>
        </w:tc>
        <w:tc>
          <w:tcPr>
            <w:tcW w:type="dxa" w:w="2340"/>
            <w:tcBorders>
              <w:top w:val="single" w:color="538135" w:sz="1"/>
              <w:left w:val="single" w:color="538135" w:sz="1"/>
              <w:bottom w:val="single" w:color="538135" w:sz="1"/>
              <w:right w:val="single" w:color="538135" w:sz="1"/>
            </w:tcBorders>
            <w:shd w:fill="375623" w:val="clear"/>
            <w:tcMar>
              <w:top w:type="dxa" w:w="80"/>
              <w:left w:type="dxa" w:w="140"/>
              <w:bottom w:type="dxa" w:w="80"/>
              <w:right w:type="dxa" w:w="140"/>
            </w:tcMar>
          </w:tcPr>
          <w:p>
            <w:pPr>
              <w:spacing w:after="10" w:before="60"/>
              <w:jc w:val="center"/>
            </w:pPr>
            <w:r>
              <w:rPr>
                <w:rFonts w:ascii="Arial" w:cs="Arial" w:eastAsia="Arial" w:hAnsi="Arial"/>
                <w:b/>
                <w:bCs/>
                <w:color w:val="E2EFDA"/>
                <w:sz w:val="15"/>
                <w:szCs w:val="15"/>
              </w:rPr>
              <w:t xml:space="preserve">TRACK 2</w:t>
            </w:r>
          </w:p>
          <w:p>
            <w:pPr>
              <w:spacing w:after="60" w:before="0"/>
              <w:jc w:val="center"/>
            </w:pPr>
            <w:r>
              <w:rPr>
                <w:rFonts w:ascii="Arial" w:cs="Arial" w:eastAsia="Arial" w:hAnsi="Arial"/>
                <w:b/>
                <w:bCs/>
                <w:color w:val="FFFFFF"/>
                <w:sz w:val="26"/>
                <w:szCs w:val="26"/>
              </w:rPr>
              <w:t xml:space="preserve">Data Readiness</w:t>
            </w:r>
          </w:p>
        </w:tc>
        <w:tc>
          <w:tcPr>
            <w:tcW w:type="dxa" w:w="2340"/>
            <w:tcBorders>
              <w:top w:val="single" w:color="B8640A" w:sz="1"/>
              <w:left w:val="single" w:color="B8640A" w:sz="1"/>
              <w:bottom w:val="single" w:color="B8640A" w:sz="1"/>
              <w:right w:val="single" w:color="B8640A" w:sz="1"/>
            </w:tcBorders>
            <w:shd w:fill="7B3F00" w:val="clear"/>
            <w:tcMar>
              <w:top w:type="dxa" w:w="80"/>
              <w:left w:type="dxa" w:w="140"/>
              <w:bottom w:type="dxa" w:w="80"/>
              <w:right w:type="dxa" w:w="140"/>
            </w:tcMar>
          </w:tcPr>
          <w:p>
            <w:pPr>
              <w:spacing w:after="10" w:before="60"/>
              <w:jc w:val="center"/>
            </w:pPr>
            <w:r>
              <w:rPr>
                <w:rFonts w:ascii="Arial" w:cs="Arial" w:eastAsia="Arial" w:hAnsi="Arial"/>
                <w:b/>
                <w:bCs/>
                <w:color w:val="FCE4D6"/>
                <w:sz w:val="15"/>
                <w:szCs w:val="15"/>
              </w:rPr>
              <w:t xml:space="preserve">TRACK 3</w:t>
            </w:r>
          </w:p>
          <w:p>
            <w:pPr>
              <w:spacing w:after="60" w:before="0"/>
              <w:jc w:val="center"/>
            </w:pPr>
            <w:r>
              <w:rPr>
                <w:rFonts w:ascii="Arial" w:cs="Arial" w:eastAsia="Arial" w:hAnsi="Arial"/>
                <w:b/>
                <w:bCs/>
                <w:color w:val="FFFFFF"/>
                <w:sz w:val="26"/>
                <w:szCs w:val="26"/>
              </w:rPr>
              <w:t xml:space="preserve">Enablement</w:t>
            </w:r>
          </w:p>
        </w:tc>
        <w:tc>
          <w:tcPr>
            <w:tcW w:type="dxa" w:w="2340"/>
            <w:tcBorders>
              <w:top w:val="single" w:color="7030A0" w:sz="1"/>
              <w:left w:val="single" w:color="7030A0" w:sz="1"/>
              <w:bottom w:val="single" w:color="7030A0" w:sz="1"/>
              <w:right w:val="single" w:color="7030A0" w:sz="1"/>
            </w:tcBorders>
            <w:shd w:fill="3A1F5D" w:val="clear"/>
            <w:tcMar>
              <w:top w:type="dxa" w:w="80"/>
              <w:left w:type="dxa" w:w="140"/>
              <w:bottom w:type="dxa" w:w="80"/>
              <w:right w:type="dxa" w:w="140"/>
            </w:tcMar>
          </w:tcPr>
          <w:p>
            <w:pPr>
              <w:spacing w:after="10" w:before="60"/>
              <w:jc w:val="center"/>
            </w:pPr>
            <w:r>
              <w:rPr>
                <w:rFonts w:ascii="Arial" w:cs="Arial" w:eastAsia="Arial" w:hAnsi="Arial"/>
                <w:b/>
                <w:bCs/>
                <w:color w:val="EAD9F7"/>
                <w:sz w:val="15"/>
                <w:szCs w:val="15"/>
              </w:rPr>
              <w:t xml:space="preserve">TRACK 4</w:t>
            </w:r>
          </w:p>
          <w:p>
            <w:pPr>
              <w:spacing w:after="60" w:before="0"/>
              <w:jc w:val="center"/>
            </w:pPr>
            <w:r>
              <w:rPr>
                <w:rFonts w:ascii="Arial" w:cs="Arial" w:eastAsia="Arial" w:hAnsi="Arial"/>
                <w:b/>
                <w:bCs/>
                <w:color w:val="FFFFFF"/>
                <w:sz w:val="26"/>
                <w:szCs w:val="26"/>
              </w:rPr>
              <w:t xml:space="preserve">Infrastructure</w:t>
            </w:r>
          </w:p>
        </w:tc>
      </w:tr>
      <w:tr>
        <w:tc>
          <w:tcPr>
            <w:tcW w:type="dxa" w:w="2340"/>
            <w:tcBorders>
              <w:top w:val="single" w:color="2E5FA3" w:sz="1"/>
              <w:left w:val="single" w:color="2E5FA3" w:sz="1"/>
              <w:bottom w:val="single" w:color="2E5FA3" w:sz="1"/>
              <w:right w:val="single" w:color="2E5FA3" w:sz="1"/>
            </w:tcBorders>
            <w:shd w:fill="D5E8F0" w:val="clear"/>
            <w:tcMar>
              <w:top w:type="dxa" w:w="80"/>
              <w:left w:type="dxa" w:w="140"/>
              <w:bottom w:type="dxa" w:w="80"/>
              <w:right w:type="dxa" w:w="140"/>
            </w:tcMar>
          </w:tcPr>
          <w:p>
            <w:pPr>
              <w:spacing w:after="40" w:before="40"/>
              <w:jc w:val="center"/>
            </w:pPr>
            <w:r>
              <w:rPr>
                <w:rFonts w:ascii="Arial" w:cs="Arial" w:eastAsia="Arial" w:hAnsi="Arial"/>
                <w:b/>
                <w:bCs/>
                <w:color w:val="1F3864"/>
                <w:sz w:val="19"/>
                <w:szCs w:val="19"/>
              </w:rPr>
              <w:t xml:space="preserve">"What should our AI strategy be?"</w:t>
            </w:r>
          </w:p>
        </w:tc>
        <w:tc>
          <w:tcPr>
            <w:tcW w:type="dxa" w:w="2340"/>
            <w:tcBorders>
              <w:top w:val="single" w:color="538135" w:sz="1"/>
              <w:left w:val="single" w:color="538135" w:sz="1"/>
              <w:bottom w:val="single" w:color="538135" w:sz="1"/>
              <w:right w:val="single" w:color="538135" w:sz="1"/>
            </w:tcBorders>
            <w:shd w:fill="E2EFDA" w:val="clear"/>
            <w:tcMar>
              <w:top w:type="dxa" w:w="80"/>
              <w:left w:type="dxa" w:w="140"/>
              <w:bottom w:type="dxa" w:w="80"/>
              <w:right w:type="dxa" w:w="140"/>
            </w:tcMar>
          </w:tcPr>
          <w:p>
            <w:pPr>
              <w:spacing w:after="40" w:before="40"/>
              <w:jc w:val="center"/>
            </w:pPr>
            <w:r>
              <w:rPr>
                <w:rFonts w:ascii="Arial" w:cs="Arial" w:eastAsia="Arial" w:hAnsi="Arial"/>
                <w:b/>
                <w:bCs/>
                <w:color w:val="375623"/>
                <w:sz w:val="19"/>
                <w:szCs w:val="19"/>
              </w:rPr>
              <w:t xml:space="preserve">"Is our data ready for AI?"</w:t>
            </w:r>
          </w:p>
        </w:tc>
        <w:tc>
          <w:tcPr>
            <w:tcW w:type="dxa" w:w="2340"/>
            <w:tcBorders>
              <w:top w:val="single" w:color="B8640A" w:sz="1"/>
              <w:left w:val="single" w:color="B8640A" w:sz="1"/>
              <w:bottom w:val="single" w:color="B8640A" w:sz="1"/>
              <w:right w:val="single" w:color="B8640A" w:sz="1"/>
            </w:tcBorders>
            <w:shd w:fill="FCE4D6" w:val="clear"/>
            <w:tcMar>
              <w:top w:type="dxa" w:w="80"/>
              <w:left w:type="dxa" w:w="140"/>
              <w:bottom w:type="dxa" w:w="80"/>
              <w:right w:type="dxa" w:w="140"/>
            </w:tcMar>
          </w:tcPr>
          <w:p>
            <w:pPr>
              <w:spacing w:after="40" w:before="40"/>
              <w:jc w:val="center"/>
            </w:pPr>
            <w:r>
              <w:rPr>
                <w:rFonts w:ascii="Arial" w:cs="Arial" w:eastAsia="Arial" w:hAnsi="Arial"/>
                <w:b/>
                <w:bCs/>
                <w:color w:val="7B3F00"/>
                <w:sz w:val="19"/>
                <w:szCs w:val="19"/>
              </w:rPr>
              <w:t xml:space="preserve">"How do our people use AI?"</w:t>
            </w:r>
          </w:p>
        </w:tc>
        <w:tc>
          <w:tcPr>
            <w:tcW w:type="dxa" w:w="2340"/>
            <w:tcBorders>
              <w:top w:val="single" w:color="7030A0" w:sz="1"/>
              <w:left w:val="single" w:color="7030A0" w:sz="1"/>
              <w:bottom w:val="single" w:color="7030A0" w:sz="1"/>
              <w:right w:val="single" w:color="7030A0" w:sz="1"/>
            </w:tcBorders>
            <w:shd w:fill="EAD9F7" w:val="clear"/>
            <w:tcMar>
              <w:top w:type="dxa" w:w="80"/>
              <w:left w:type="dxa" w:w="140"/>
              <w:bottom w:type="dxa" w:w="80"/>
              <w:right w:type="dxa" w:w="140"/>
            </w:tcMar>
          </w:tcPr>
          <w:p>
            <w:pPr>
              <w:spacing w:after="40" w:before="40"/>
              <w:jc w:val="center"/>
            </w:pPr>
            <w:r>
              <w:rPr>
                <w:rFonts w:ascii="Arial" w:cs="Arial" w:eastAsia="Arial" w:hAnsi="Arial"/>
                <w:b/>
                <w:bCs/>
                <w:color w:val="3A1F5D"/>
                <w:sz w:val="19"/>
                <w:szCs w:val="19"/>
              </w:rPr>
              <w:t xml:space="preserve">"How do our systems use AI?"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 w:before="40"/>
            </w:pPr>
            <w:r>
              <w:rPr>
                <w:rFonts w:ascii="Arial" w:cs="Arial" w:eastAsia="Arial" w:hAnsi="Arial"/>
                <w:b/>
                <w:bCs/>
                <w:sz w:val="19"/>
                <w:szCs w:val="19"/>
              </w:rPr>
              <w:t xml:space="preserve">AI Solutions Discovery</w:t>
            </w:r>
          </w:p>
          <w:p>
            <w:pPr>
              <w:spacing w:after="20" w:before="0"/>
            </w:pPr>
            <w:r>
              <w:rPr>
                <w:rFonts w:ascii="Arial" w:cs="Arial" w:eastAsia="Arial" w:hAnsi="Arial"/>
                <w:color w:val="444444"/>
                <w:sz w:val="17"/>
                <w:szCs w:val="17"/>
              </w:rPr>
              <w:t xml:space="preserve">Stakeholder workshops, use case identification, feasibility, AI roadmap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 w:before="40"/>
            </w:pPr>
            <w:r>
              <w:rPr>
                <w:rFonts w:ascii="Arial" w:cs="Arial" w:eastAsia="Arial" w:hAnsi="Arial"/>
                <w:b/>
                <w:bCs/>
                <w:sz w:val="19"/>
                <w:szCs w:val="19"/>
              </w:rPr>
              <w:t xml:space="preserve">Data Engagement &amp; AI Preparation</w:t>
            </w:r>
          </w:p>
          <w:p>
            <w:pPr>
              <w:spacing w:after="20" w:before="0"/>
            </w:pPr>
            <w:r>
              <w:rPr>
                <w:rFonts w:ascii="Arial" w:cs="Arial" w:eastAsia="Arial" w:hAnsi="Arial"/>
                <w:color w:val="444444"/>
                <w:sz w:val="17"/>
                <w:szCs w:val="17"/>
              </w:rPr>
              <w:t xml:space="preserve">Data quality audit, governance assessment, AI readiness scorecard, remediation pathway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 w:before="40"/>
            </w:pPr>
            <w:r>
              <w:rPr>
                <w:rFonts w:ascii="Arial" w:cs="Arial" w:eastAsia="Arial" w:hAnsi="Arial"/>
                <w:b/>
                <w:bCs/>
                <w:sz w:val="19"/>
                <w:szCs w:val="19"/>
              </w:rPr>
              <w:t xml:space="preserve">Executive Productivity Suite ★</w:t>
            </w:r>
          </w:p>
          <w:p>
            <w:pPr>
              <w:spacing w:after="20" w:before="0"/>
            </w:pPr>
            <w:r>
              <w:rPr>
                <w:rFonts w:ascii="Arial" w:cs="Arial" w:eastAsia="Arial" w:hAnsi="Arial"/>
                <w:color w:val="444444"/>
                <w:sz w:val="17"/>
                <w:szCs w:val="17"/>
              </w:rPr>
              <w:t xml:space="preserve">Custom Claude environment for leadership: knowledgebases, skills, prompt libraries</w:t>
            </w:r>
          </w:p>
          <w:p>
            <w:pPr>
              <w:spacing w:after="6" w:before="40"/>
            </w:pPr>
            <w:r>
              <w:rPr>
                <w:rFonts w:ascii="Arial" w:cs="Arial" w:eastAsia="Arial" w:hAnsi="Arial"/>
                <w:b/>
                <w:bCs/>
                <w:sz w:val="19"/>
                <w:szCs w:val="19"/>
              </w:rPr>
              <w:t xml:space="preserve">Team Citizen Dev Enablement ★</w:t>
            </w:r>
          </w:p>
          <w:p>
            <w:pPr>
              <w:spacing w:after="20" w:before="0"/>
            </w:pPr>
            <w:r>
              <w:rPr>
                <w:rFonts w:ascii="Arial" w:cs="Arial" w:eastAsia="Arial" w:hAnsi="Arial"/>
                <w:color w:val="444444"/>
                <w:sz w:val="17"/>
                <w:szCs w:val="17"/>
              </w:rPr>
              <w:t xml:space="preserve">SDLC plugin, guardrails, enablement workshop, graduation playbook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 w:before="40"/>
            </w:pPr>
            <w:r>
              <w:rPr>
                <w:rFonts w:ascii="Arial" w:cs="Arial" w:eastAsia="Arial" w:hAnsi="Arial"/>
                <w:b/>
                <w:bCs/>
                <w:sz w:val="19"/>
                <w:szCs w:val="19"/>
              </w:rPr>
              <w:t xml:space="preserve">Agentic Systems &amp; MCP</w:t>
            </w:r>
          </w:p>
          <w:p>
            <w:pPr>
              <w:spacing w:after="20" w:before="0"/>
            </w:pPr>
            <w:r>
              <w:rPr>
                <w:rFonts w:ascii="Arial" w:cs="Arial" w:eastAsia="Arial" w:hAnsi="Arial"/>
                <w:color w:val="444444"/>
                <w:sz w:val="17"/>
                <w:szCs w:val="17"/>
              </w:rPr>
              <w:t xml:space="preserve">Custom MCP servers connecting Claude to internal DBs, APIs, CRMs, ERPs</w:t>
            </w:r>
          </w:p>
          <w:p>
            <w:pPr>
              <w:spacing w:after="6" w:before="40"/>
            </w:pPr>
            <w:r>
              <w:rPr>
                <w:rFonts w:ascii="Arial" w:cs="Arial" w:eastAsia="Arial" w:hAnsi="Arial"/>
                <w:b/>
                <w:bCs/>
                <w:sz w:val="19"/>
                <w:szCs w:val="19"/>
              </w:rPr>
              <w:t xml:space="preserve">Custom AI Agents</w:t>
            </w:r>
          </w:p>
          <w:p>
            <w:pPr>
              <w:spacing w:after="20" w:before="0"/>
            </w:pPr>
            <w:r>
              <w:rPr>
                <w:rFonts w:ascii="Arial" w:cs="Arial" w:eastAsia="Arial" w:hAnsi="Arial"/>
                <w:color w:val="444444"/>
                <w:sz w:val="17"/>
                <w:szCs w:val="17"/>
              </w:rPr>
              <w:t xml:space="preserve">Autonomous agents, Command Centre, human-in-the-loop governance</w:t>
            </w:r>
          </w:p>
          <w:p>
            <w:pPr>
              <w:spacing w:after="6" w:before="40"/>
            </w:pPr>
            <w:r>
              <w:rPr>
                <w:rFonts w:ascii="Arial" w:cs="Arial" w:eastAsia="Arial" w:hAnsi="Arial"/>
                <w:b/>
                <w:bCs/>
                <w:sz w:val="19"/>
                <w:szCs w:val="19"/>
              </w:rPr>
              <w:t xml:space="preserve">On-Premise LLM</w:t>
            </w:r>
          </w:p>
          <w:p>
            <w:pPr>
              <w:spacing w:after="20" w:before="0"/>
            </w:pPr>
            <w:r>
              <w:rPr>
                <w:rFonts w:ascii="Arial" w:cs="Arial" w:eastAsia="Arial" w:hAnsi="Arial"/>
                <w:color w:val="444444"/>
                <w:sz w:val="17"/>
                <w:szCs w:val="17"/>
              </w:rPr>
              <w:t xml:space="preserve">Private open-source LLM for data sovereignty clients</w:t>
            </w:r>
          </w:p>
          <w:p>
            <w:pPr>
              <w:spacing w:after="6" w:before="40"/>
            </w:pPr>
            <w:r>
              <w:rPr>
                <w:rFonts w:ascii="Arial" w:cs="Arial" w:eastAsia="Arial" w:hAnsi="Arial"/>
                <w:b/>
                <w:bCs/>
                <w:sz w:val="19"/>
                <w:szCs w:val="19"/>
              </w:rPr>
              <w:t xml:space="preserve">Fine-Tuned Custom LLMs</w:t>
            </w:r>
          </w:p>
          <w:p>
            <w:pPr>
              <w:spacing w:after="20" w:before="0"/>
            </w:pPr>
            <w:r>
              <w:rPr>
                <w:rFonts w:ascii="Arial" w:cs="Arial" w:eastAsia="Arial" w:hAnsi="Arial"/>
                <w:color w:val="444444"/>
                <w:sz w:val="17"/>
                <w:szCs w:val="17"/>
              </w:rPr>
              <w:t xml:space="preserve">Domain-specific model trained on proprietary data</w:t>
            </w:r>
          </w:p>
        </w:tc>
      </w:tr>
      <w:tr>
        <w:tc>
          <w:tcPr>
            <w:tcW w:type="dxa" w:w="234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16" w:before="40"/>
            </w:pPr>
            <w:r>
              <w:rPr>
                <w:rFonts w:ascii="Arial" w:cs="Arial" w:eastAsia="Arial" w:hAnsi="Arial"/>
                <w:b/>
                <w:bCs/>
                <w:color w:val="1F3864"/>
                <w:sz w:val="17"/>
                <w:szCs w:val="17"/>
              </w:rPr>
              <w:t xml:space="preserve">USE WHEN:</w:t>
            </w:r>
          </w:p>
          <w:p>
            <w:pPr>
              <w:spacing w:after="10" w:before="10"/>
            </w:pPr>
            <w:r>
              <w:rPr>
                <w:rFonts w:ascii="Arial" w:cs="Arial" w:eastAsia="Arial" w:hAnsi="Arial"/>
                <w:sz w:val="17"/>
                <w:szCs w:val="17"/>
              </w:rPr>
              <w:t xml:space="preserve">· No prior AI investment</w:t>
            </w:r>
          </w:p>
          <w:p>
            <w:pPr>
              <w:spacing w:after="10" w:before="10"/>
            </w:pPr>
            <w:r>
              <w:rPr>
                <w:rFonts w:ascii="Arial" w:cs="Arial" w:eastAsia="Arial" w:hAnsi="Arial"/>
                <w:sz w:val="17"/>
                <w:szCs w:val="17"/>
              </w:rPr>
              <w:t xml:space="preserve">· Strategy clarity needed before budget is committed</w:t>
            </w:r>
          </w:p>
          <w:p>
            <w:pPr>
              <w:spacing w:after="10" w:before="10"/>
            </w:pPr>
            <w:r>
              <w:rPr>
                <w:rFonts w:ascii="Arial" w:cs="Arial" w:eastAsia="Arial" w:hAnsi="Arial"/>
                <w:sz w:val="17"/>
                <w:szCs w:val="17"/>
              </w:rPr>
              <w:t xml:space="preserve">· Leadership AI-curious but uncertain on ROI</w:t>
            </w:r>
          </w:p>
        </w:tc>
        <w:tc>
          <w:tcPr>
            <w:tcW w:type="dxa" w:w="2340"/>
            <w:tcBorders>
              <w:top w:val="single" w:color="CCCCCC" w:sz="1"/>
              <w:left w:val="single" w:color="CCCCCC" w:sz="1"/>
              <w:bottom w:val="single" w:color="CCCCCC" w:sz="1"/>
              <w:right w:val="single" w:color="CCCCCC" w:sz="1"/>
            </w:tcBorders>
            <w:shd w:fill="F0F7EB" w:val="clear"/>
            <w:tcMar>
              <w:top w:type="dxa" w:w="80"/>
              <w:left w:type="dxa" w:w="140"/>
              <w:bottom w:type="dxa" w:w="80"/>
              <w:right w:type="dxa" w:w="140"/>
            </w:tcMar>
            <w:vAlign w:val="top"/>
          </w:tcPr>
          <w:p>
            <w:pPr>
              <w:spacing w:after="16" w:before="40"/>
            </w:pPr>
            <w:r>
              <w:rPr>
                <w:rFonts w:ascii="Arial" w:cs="Arial" w:eastAsia="Arial" w:hAnsi="Arial"/>
                <w:b/>
                <w:bCs/>
                <w:color w:val="375623"/>
                <w:sz w:val="17"/>
                <w:szCs w:val="17"/>
              </w:rPr>
              <w:t xml:space="preserve">USE WHEN:</w:t>
            </w:r>
          </w:p>
          <w:p>
            <w:pPr>
              <w:spacing w:after="10" w:before="10"/>
            </w:pPr>
            <w:r>
              <w:rPr>
                <w:rFonts w:ascii="Arial" w:cs="Arial" w:eastAsia="Arial" w:hAnsi="Arial"/>
                <w:sz w:val="17"/>
                <w:szCs w:val="17"/>
              </w:rPr>
              <w:t xml:space="preserve">· Data quality unknown or suspect</w:t>
            </w:r>
          </w:p>
          <w:p>
            <w:pPr>
              <w:spacing w:after="10" w:before="10"/>
            </w:pPr>
            <w:r>
              <w:rPr>
                <w:rFonts w:ascii="Arial" w:cs="Arial" w:eastAsia="Arial" w:hAnsi="Arial"/>
                <w:sz w:val="17"/>
                <w:szCs w:val="17"/>
              </w:rPr>
              <w:t xml:space="preserve">· Regulated industry with compliance requirements</w:t>
            </w:r>
          </w:p>
          <w:p>
            <w:pPr>
              <w:spacing w:after="10" w:before="10"/>
            </w:pPr>
            <w:r>
              <w:rPr>
                <w:rFonts w:ascii="Arial" w:cs="Arial" w:eastAsia="Arial" w:hAnsi="Arial"/>
                <w:sz w:val="17"/>
                <w:szCs w:val="17"/>
              </w:rPr>
              <w:t xml:space="preserve">· About to begin agent or integration work</w:t>
            </w:r>
          </w:p>
        </w:tc>
        <w:tc>
          <w:tcPr>
            <w:tcW w:type="dxa" w:w="2340"/>
            <w:tcBorders>
              <w:top w:val="single" w:color="CCCCCC" w:sz="1"/>
              <w:left w:val="single" w:color="CCCCCC" w:sz="1"/>
              <w:bottom w:val="single" w:color="CCCCCC" w:sz="1"/>
              <w:right w:val="single" w:color="CCCCCC" w:sz="1"/>
            </w:tcBorders>
            <w:shd w:fill="FEF4EE" w:val="clear"/>
            <w:tcMar>
              <w:top w:type="dxa" w:w="80"/>
              <w:left w:type="dxa" w:w="140"/>
              <w:bottom w:type="dxa" w:w="80"/>
              <w:right w:type="dxa" w:w="140"/>
            </w:tcMar>
            <w:vAlign w:val="top"/>
          </w:tcPr>
          <w:p>
            <w:pPr>
              <w:spacing w:after="16" w:before="40"/>
            </w:pPr>
            <w:r>
              <w:rPr>
                <w:rFonts w:ascii="Arial" w:cs="Arial" w:eastAsia="Arial" w:hAnsi="Arial"/>
                <w:b/>
                <w:bCs/>
                <w:color w:val="7B3F00"/>
                <w:sz w:val="17"/>
                <w:szCs w:val="17"/>
              </w:rPr>
              <w:t xml:space="preserve">USE WHEN:</w:t>
            </w:r>
          </w:p>
          <w:p>
            <w:pPr>
              <w:spacing w:after="10" w:before="10"/>
            </w:pPr>
            <w:r>
              <w:rPr>
                <w:rFonts w:ascii="Arial" w:cs="Arial" w:eastAsia="Arial" w:hAnsi="Arial"/>
                <w:sz w:val="17"/>
                <w:szCs w:val="17"/>
              </w:rPr>
              <w:t xml:space="preserve">· Leadership wants a fast, visible win</w:t>
            </w:r>
          </w:p>
          <w:p>
            <w:pPr>
              <w:spacing w:after="10" w:before="10"/>
            </w:pPr>
            <w:r>
              <w:rPr>
                <w:rFonts w:ascii="Arial" w:cs="Arial" w:eastAsia="Arial" w:hAnsi="Arial"/>
                <w:sz w:val="17"/>
                <w:szCs w:val="17"/>
              </w:rPr>
              <w:t xml:space="preserve">· Team using Claude informally / sprawling</w:t>
            </w:r>
          </w:p>
          <w:p>
            <w:pPr>
              <w:spacing w:after="10" w:before="10"/>
            </w:pPr>
            <w:r>
              <w:rPr>
                <w:rFonts w:ascii="Arial" w:cs="Arial" w:eastAsia="Arial" w:hAnsi="Arial"/>
                <w:sz w:val="17"/>
                <w:szCs w:val="17"/>
              </w:rPr>
              <w:t xml:space="preserve">· Existing Alphabyte data/BI client ready for AI lift</w:t>
            </w:r>
          </w:p>
        </w:tc>
        <w:tc>
          <w:tcPr>
            <w:tcW w:type="dxa" w:w="2340"/>
            <w:tcBorders>
              <w:top w:val="single" w:color="CCCCCC" w:sz="1"/>
              <w:left w:val="single" w:color="CCCCCC" w:sz="1"/>
              <w:bottom w:val="single" w:color="CCCCCC" w:sz="1"/>
              <w:right w:val="single" w:color="CCCCCC" w:sz="1"/>
            </w:tcBorders>
            <w:shd w:fill="F5EEFB" w:val="clear"/>
            <w:tcMar>
              <w:top w:type="dxa" w:w="80"/>
              <w:left w:type="dxa" w:w="140"/>
              <w:bottom w:type="dxa" w:w="80"/>
              <w:right w:type="dxa" w:w="140"/>
            </w:tcMar>
            <w:vAlign w:val="top"/>
          </w:tcPr>
          <w:p>
            <w:pPr>
              <w:spacing w:after="16" w:before="40"/>
            </w:pPr>
            <w:r>
              <w:rPr>
                <w:rFonts w:ascii="Arial" w:cs="Arial" w:eastAsia="Arial" w:hAnsi="Arial"/>
                <w:b/>
                <w:bCs/>
                <w:color w:val="3A1F5D"/>
                <w:sz w:val="17"/>
                <w:szCs w:val="17"/>
              </w:rPr>
              <w:t xml:space="preserve">USE WHEN:</w:t>
            </w:r>
          </w:p>
          <w:p>
            <w:pPr>
              <w:spacing w:after="10" w:before="10"/>
            </w:pPr>
            <w:r>
              <w:rPr>
                <w:rFonts w:ascii="Arial" w:cs="Arial" w:eastAsia="Arial" w:hAnsi="Arial"/>
                <w:sz w:val="17"/>
                <w:szCs w:val="17"/>
              </w:rPr>
              <w:t xml:space="preserve">· Ready to connect AI to live internal systems</w:t>
            </w:r>
          </w:p>
          <w:p>
            <w:pPr>
              <w:spacing w:after="10" w:before="10"/>
            </w:pPr>
            <w:r>
              <w:rPr>
                <w:rFonts w:ascii="Arial" w:cs="Arial" w:eastAsia="Arial" w:hAnsi="Arial"/>
                <w:sz w:val="17"/>
                <w:szCs w:val="17"/>
              </w:rPr>
              <w:t xml:space="preserve">· Want autonomous agents handling workflows</w:t>
            </w:r>
          </w:p>
          <w:p>
            <w:pPr>
              <w:spacing w:after="10" w:before="10"/>
            </w:pPr>
            <w:r>
              <w:rPr>
                <w:rFonts w:ascii="Arial" w:cs="Arial" w:eastAsia="Arial" w:hAnsi="Arial"/>
                <w:sz w:val="17"/>
                <w:szCs w:val="17"/>
              </w:rPr>
              <w:t xml:space="preserve">· Data sovereignty rules out cloud AI</w:t>
            </w:r>
          </w:p>
        </w:tc>
      </w:tr>
    </w:tbl>
    <w:p>
      <w:pPr>
        <w:spacing w:after="0" w:before="60"/>
      </w:pPr>
      <w:r>
        <w:t xml:space="preserve"/>
      </w:r>
    </w:p>
    <w:p>
      <w:pPr>
        <w:spacing w:after="60" w:before="60"/>
      </w:pPr>
      <w:r>
        <w:rPr>
          <w:rFonts w:ascii="Arial" w:cs="Arial" w:eastAsia="Arial" w:hAnsi="Arial"/>
          <w:color w:val="666666"/>
          <w:sz w:val="18"/>
          <w:szCs w:val="18"/>
        </w:rPr>
        <w:t xml:space="preserve">★ Hero Offer — Executive Productivity Suite and Team Citizen Dev Enablement are the front-door offerings. Tracks don't need to be sequential — clients enter where their problem is and expand from there.</w:t>
      </w:r>
    </w:p>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Where to Start — Client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CLIENT SCENARIO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START HERE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TYPICAL PROGRESSION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AI-curious, no prior investment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2E5FA3"/>
                <w:sz w:val="19"/>
                <w:szCs w:val="19"/>
              </w:rPr>
              <w:t xml:space="preserve">Discovery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9"/>
                <w:szCs w:val="19"/>
              </w:rPr>
              <w:t xml:space="preserve">Discovery → Data Readiness → Enablement → Infrastructure  (12–18 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Leadership wants a fast, visible win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B8640A"/>
                <w:sz w:val="19"/>
                <w:szCs w:val="19"/>
              </w:rPr>
              <w:t xml:space="preserve">Enablement — Exec Suite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9"/>
                <w:szCs w:val="19"/>
              </w:rPr>
              <w:t xml:space="preserve">Exec Suite → Discovery → Infrastructure  (6–12 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Team already using Claude, sprawling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B8640A"/>
                <w:sz w:val="19"/>
                <w:szCs w:val="19"/>
              </w:rPr>
              <w:t xml:space="preserve">Enablement — Citizen Dev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9"/>
                <w:szCs w:val="19"/>
              </w:rPr>
              <w:t xml:space="preserve">Citizen Dev → Data Readiness → Infrastructure  (6–12 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Existing Alphabyte data/BI client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B8640A"/>
                <w:sz w:val="19"/>
                <w:szCs w:val="19"/>
              </w:rPr>
              <w:t xml:space="preserve">Enablement (either)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9"/>
                <w:szCs w:val="19"/>
              </w:rPr>
              <w:t xml:space="preserve">Exec Suite + Citizen Dev → Infrastructure  (6–12 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Enterprise with data sovereignty needs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2E5FA3"/>
                <w:sz w:val="19"/>
                <w:szCs w:val="19"/>
              </w:rPr>
              <w:t xml:space="preserve">Discovery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9"/>
                <w:szCs w:val="19"/>
              </w:rPr>
              <w:t xml:space="preserve">Discovery → Data Readiness → Enablement → On-Prem LLM → Custom LLM  (24–36 mo)</w:t>
            </w:r>
          </w:p>
        </w:tc>
      </w:tr>
    </w:tbl>
    <w:p>
      <w:r>
        <w:br w:type="page"/>
      </w:r>
    </w:p>
    <w:p>
      <w:pPr>
        <w:pStyle w:val="Heading1"/>
        <w:shd w:fill="1F3864" w:val="clear"/>
        <w:spacing w:after="140" w:before="280"/>
      </w:pPr>
      <w:r>
        <w:rPr>
          <w:rFonts w:ascii="Arial" w:cs="Arial" w:eastAsia="Arial" w:hAnsi="Arial"/>
          <w:b/>
          <w:bCs/>
          <w:color w:val="FFFFFF"/>
          <w:sz w:val="26"/>
          <w:szCs w:val="26"/>
        </w:rPr>
        <w:t xml:space="preserve">PAGE 2  ·  TRACK DETAIL</w:t>
      </w:r>
    </w:p>
    <w:p>
      <w:pPr>
        <w:spacing w:after="0" w:before="6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Track 1  ·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120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OFFERING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EFFORT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INVESTMENT (CDN)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TIMELINE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KEY 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AI Solutions Discovery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64–90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$14K – $22.5K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3–5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Up to 10 stakeholder workshops, use case dev (×3), gap analysis, Findings &amp; Recommendations roadmap</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375623"/>
          <w:sz w:val="22"/>
          <w:szCs w:val="22"/>
        </w:rPr>
        <w:t xml:space="preserve">Track 2  ·  Data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1200"/>
        <w:gridCol w:w="280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OFFERING</w:t>
            </w:r>
          </w:p>
        </w:tc>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EFFORT</w:t>
            </w:r>
          </w:p>
        </w:tc>
        <w:tc>
          <w:tcPr>
            <w:tcW w:type="dxa" w:w="17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INVESTMENT (CDN)</w:t>
            </w:r>
          </w:p>
        </w:tc>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TIMELINE</w:t>
            </w:r>
          </w:p>
        </w:tc>
        <w:tc>
          <w:tcPr>
            <w:tcW w:type="dxa" w:w="2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KEY 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Data Engagement &amp; AI Preparation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40–120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$15K – $40K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4–8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Data quality audit, governance assessment, AI readiness scorecard (5 dimensions), remediation pathway</w:t>
            </w:r>
          </w:p>
        </w:tc>
      </w:tr>
    </w:tbl>
    <w:p>
      <w:pPr>
        <w:spacing w:after="0" w:before="140"/>
      </w:pPr>
      <w:r>
        <w:t xml:space="preserve"/>
      </w:r>
    </w:p>
    <w:p>
      <w:pPr>
        <w:pStyle w:val="Heading1"/>
        <w:shd w:fill="7B3F00" w:val="clear"/>
        <w:spacing w:after="140" w:before="280"/>
      </w:pPr>
      <w:r>
        <w:rPr>
          <w:rFonts w:ascii="Arial" w:cs="Arial" w:eastAsia="Arial" w:hAnsi="Arial"/>
          <w:b/>
          <w:bCs/>
          <w:color w:val="FFFFFF"/>
          <w:sz w:val="26"/>
          <w:szCs w:val="26"/>
        </w:rPr>
        <w:t xml:space="preserve"/>
      </w:r>
    </w:p>
    <w:p>
      <w:pPr>
        <w:pStyle w:val="Heading2"/>
        <w:pBdr>
          <w:bottom w:val="single" w:color="CCCCCC" w:sz="2" w:space="1"/>
        </w:pBdr>
        <w:spacing w:after="100" w:before="220"/>
      </w:pPr>
      <w:r>
        <w:rPr>
          <w:rFonts w:ascii="Arial" w:cs="Arial" w:eastAsia="Arial" w:hAnsi="Arial"/>
          <w:b/>
          <w:bCs/>
          <w:color w:val="7B3F00"/>
          <w:sz w:val="22"/>
          <w:szCs w:val="22"/>
        </w:rPr>
        <w:t xml:space="preserve">Track 3  ·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1200"/>
        <w:gridCol w:w="2800"/>
      </w:tblGrid>
      <w:tr>
        <w:trPr>
          <w:tblHeader/>
        </w:trPr>
        <w:tc>
          <w:tcPr>
            <w:tcW w:type="dxa" w:w="24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OFFERING</w:t>
            </w:r>
          </w:p>
        </w:tc>
        <w:tc>
          <w:tcPr>
            <w:tcW w:type="dxa" w:w="12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EFFORT</w:t>
            </w:r>
          </w:p>
        </w:tc>
        <w:tc>
          <w:tcPr>
            <w:tcW w:type="dxa" w:w="176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INVESTMENT (CDN)</w:t>
            </w:r>
          </w:p>
        </w:tc>
        <w:tc>
          <w:tcPr>
            <w:tcW w:type="dxa" w:w="12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TIMELINE</w:t>
            </w:r>
          </w:p>
        </w:tc>
        <w:tc>
          <w:tcPr>
            <w:tcW w:type="dxa" w:w="28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KEY 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Executive Productivity Suite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20–50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$7K – $18K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2–4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Custom knowledgebases, skills library, prompt toolkit, Claude Teams config, knowledge transfer session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Team Citizen Dev — Starter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40–60 hrs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$15K – $22K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3–5 wks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SDLC plugin (3 skills), up to 5 devs, guardrails baseline, 2-wk hypercare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Team Citizen Dev — 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80–130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$28K – $42K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6–10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Full plugin (5 skills), 5–15 devs, context engineering workshop, full guardrails + graduation playbook, 4-wk hypercare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Team Citizen Dev — Enterprise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150–220 hrs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$50K – $75K+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8–12 wks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Multi-dept rollout, custom skills per function, governance framework, quarterly iteration retainer (6 mo)</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3A1F5D"/>
          <w:sz w:val="22"/>
          <w:szCs w:val="22"/>
        </w:rPr>
        <w:t xml:space="preserve">Track 4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1200"/>
        <w:gridCol w:w="2800"/>
      </w:tblGrid>
      <w:tr>
        <w:trPr>
          <w:tblHeader/>
        </w:trPr>
        <w:tc>
          <w:tcPr>
            <w:tcW w:type="dxa" w:w="2400"/>
            <w:tcBorders>
              <w:top w:val="single" w:color="CCCCCC" w:sz="1"/>
              <w:left w:val="single" w:color="CCCCCC" w:sz="1"/>
              <w:bottom w:val="single" w:color="CCCCCC" w:sz="1"/>
              <w:right w:val="single" w:color="CCCCCC" w:sz="1"/>
            </w:tcBorders>
            <w:shd w:fill="3A1F5D"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OFFERING</w:t>
            </w:r>
          </w:p>
        </w:tc>
        <w:tc>
          <w:tcPr>
            <w:tcW w:type="dxa" w:w="1200"/>
            <w:tcBorders>
              <w:top w:val="single" w:color="CCCCCC" w:sz="1"/>
              <w:left w:val="single" w:color="CCCCCC" w:sz="1"/>
              <w:bottom w:val="single" w:color="CCCCCC" w:sz="1"/>
              <w:right w:val="single" w:color="CCCCCC" w:sz="1"/>
            </w:tcBorders>
            <w:shd w:fill="3A1F5D"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EFFORT</w:t>
            </w:r>
          </w:p>
        </w:tc>
        <w:tc>
          <w:tcPr>
            <w:tcW w:type="dxa" w:w="1760"/>
            <w:tcBorders>
              <w:top w:val="single" w:color="CCCCCC" w:sz="1"/>
              <w:left w:val="single" w:color="CCCCCC" w:sz="1"/>
              <w:bottom w:val="single" w:color="CCCCCC" w:sz="1"/>
              <w:right w:val="single" w:color="CCCCCC" w:sz="1"/>
            </w:tcBorders>
            <w:shd w:fill="3A1F5D"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INVESTMENT (CDN)</w:t>
            </w:r>
          </w:p>
        </w:tc>
        <w:tc>
          <w:tcPr>
            <w:tcW w:type="dxa" w:w="1200"/>
            <w:tcBorders>
              <w:top w:val="single" w:color="CCCCCC" w:sz="1"/>
              <w:left w:val="single" w:color="CCCCCC" w:sz="1"/>
              <w:bottom w:val="single" w:color="CCCCCC" w:sz="1"/>
              <w:right w:val="single" w:color="CCCCCC" w:sz="1"/>
            </w:tcBorders>
            <w:shd w:fill="3A1F5D"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TIMELINE</w:t>
            </w:r>
          </w:p>
        </w:tc>
        <w:tc>
          <w:tcPr>
            <w:tcW w:type="dxa" w:w="2800"/>
            <w:tcBorders>
              <w:top w:val="single" w:color="CCCCCC" w:sz="1"/>
              <w:left w:val="single" w:color="CCCCCC" w:sz="1"/>
              <w:bottom w:val="single" w:color="CCCCCC" w:sz="1"/>
              <w:right w:val="single" w:color="CCCCCC" w:sz="1"/>
            </w:tcBorders>
            <w:shd w:fill="3A1F5D"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KEY 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Agentic Systems &amp; Custom MCP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40–80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$18K – $36K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4–8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MCP server dev, cloud infra, tool integrations (SQL, CRM, ERP, APIs), OAuth 2.0, context engineering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Custom AI Agents &amp; Systems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80–200 hrs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$35K – $90K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8–16 wks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Agent sandbox, CI/CD pipelines, production runtime, Command Centre dashboard, HITL approval workflows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On-Premise LLM Deployment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100–200 hrs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$45K – $90K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10–18 wks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LLM requirements workshop, infra provisioning, open-source model deployment, API access, MLOps, observability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Fine-Tuned Custom LLMs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200–400 hrs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$90K – $160K+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20–36 wks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444444"/>
                <w:sz w:val="17"/>
                <w:szCs w:val="17"/>
              </w:rPr>
              <w:t xml:space="preserve">Training data pipeline, model fine-tuning, evaluation &amp; validation, production deployment, MLOps, governance</w:t>
            </w:r>
          </w:p>
        </w:tc>
      </w:tr>
    </w:tbl>
    <w:p>
      <w:pPr>
        <w:spacing w:after="0" w:before="60"/>
      </w:pPr>
      <w:r>
        <w:t xml:space="preserve"/>
      </w:r>
    </w:p>
    <w:p>
      <w:pPr>
        <w:spacing w:after="60" w:before="60"/>
      </w:pPr>
      <w:r>
        <w:rPr>
          <w:rFonts w:ascii="Arial" w:cs="Arial" w:eastAsia="Arial" w:hAnsi="Arial"/>
          <w:color w:val="666666"/>
          <w:sz w:val="18"/>
          <w:szCs w:val="18"/>
        </w:rPr>
        <w:t xml:space="preserve">On-Premise LLM and Fine-Tuned Custom LLMs deploy open-source models (Llama, Mistral, etc.) on client infrastructure — for clients where cloud AI is ruled out by data sovereignty or security policy.</w:t>
      </w:r>
    </w:p>
    <w:p>
      <w:r>
        <w:br w:type="page"/>
      </w:r>
    </w:p>
    <w:p>
      <w:pPr>
        <w:pStyle w:val="Heading1"/>
        <w:shd w:fill="1F3864" w:val="clear"/>
        <w:spacing w:after="140" w:before="280"/>
      </w:pPr>
      <w:r>
        <w:rPr>
          <w:rFonts w:ascii="Arial" w:cs="Arial" w:eastAsia="Arial" w:hAnsi="Arial"/>
          <w:b/>
          <w:bCs/>
          <w:color w:val="FFFFFF"/>
          <w:sz w:val="26"/>
          <w:szCs w:val="26"/>
        </w:rPr>
        <w:t xml:space="preserve">PAGE 3  ·  ENGAGEMENTS &amp; SALES REFERENCE</w:t>
      </w:r>
    </w:p>
    <w:p>
      <w:pPr>
        <w:spacing w:after="0" w:before="8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Entry Bundles  ·  Fast, low-commitment starting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60"/>
        <w:gridCol w:w="1500"/>
        <w:gridCol w:w="1000"/>
        <w:gridCol w:w="11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ENTRY BUNDLE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TRACK</w:t>
            </w:r>
          </w:p>
        </w:tc>
        <w:tc>
          <w:tcPr>
            <w:tcW w:type="dxa" w:w="2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WHAT THE CLIENT GETS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INVESTMENT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TIMELINE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LEADS 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1F3864"/>
                <w:sz w:val="19"/>
                <w:szCs w:val="19"/>
              </w:rPr>
              <w:t xml:space="preserve">Strategy Sprint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2E5FA3"/>
                <w:sz w:val="19"/>
                <w:szCs w:val="19"/>
              </w:rPr>
              <w:t xml:space="preserve">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Fixed-price, time-boxed discovery. Stakeholder workshops, use case prioritization, AI roadmap. Fast way to answer "where do we start?" without a full programme commitment.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$14K – $22.5K
Fixed price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3–5 wks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555555"/>
                <w:sz w:val="17"/>
                <w:szCs w:val="17"/>
              </w:rPr>
              <w:t xml:space="preserve">Any track</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7B3F00"/>
                <w:sz w:val="19"/>
                <w:szCs w:val="19"/>
              </w:rPr>
              <w:t xml:space="preserve">Executive Quick Win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B8640A"/>
                <w:sz w:val="19"/>
                <w:szCs w:val="19"/>
              </w:rPr>
              <w:t xml:space="preserve">Enablement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Custom Claude environment for the leadership team in weeks. Knowledgebases, skills library, prompt toolkit. Delivers visible ROI before anything else is scoped.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$7K – $18K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2–4 wks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555555"/>
                <w:sz w:val="17"/>
                <w:szCs w:val="17"/>
              </w:rPr>
              <w:t xml:space="preserve">Infrastructure or Citizen Dev</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7B3F00"/>
                <w:sz w:val="19"/>
                <w:szCs w:val="19"/>
              </w:rPr>
              <w:t xml:space="preserve">Sprawl Fix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538135"/>
                <w:sz w:val="19"/>
                <w:szCs w:val="19"/>
              </w:rPr>
              <w:t xml:space="preserve">Data Readiness</w:t>
            </w:r>
          </w:p>
          <w:p>
            <w:pPr>
              <w:spacing w:after="20" w:before="20"/>
            </w:pPr>
            <w:r>
              <w:rPr>
                <w:rFonts w:ascii="Arial" w:cs="Arial" w:eastAsia="Arial" w:hAnsi="Arial"/>
                <w:b/>
                <w:bCs/>
                <w:color w:val="B8640A"/>
                <w:sz w:val="19"/>
                <w:szCs w:val="19"/>
              </w:rPr>
              <w:t xml:space="preserve">Enablement</w:t>
            </w:r>
          </w:p>
          <w:p>
            <w:pPr>
              <w:spacing w:after="20" w:before="20"/>
            </w:pPr>
            <w:r>
              <w:rPr>
                <w:rFonts w:ascii="Arial" w:cs="Arial" w:eastAsia="Arial" w:hAnsi="Arial"/>
                <w:b/>
                <w:bCs/>
                <w:color w:val="7030A0"/>
                <w:sz w:val="19"/>
                <w:szCs w:val="19"/>
              </w:rPr>
              <w:t xml:space="preserve">Infrastructure: MCP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For teams already using Claude in silos. Governed data marts, custom SDLC plugin deployed org-wide, MCP connection to data, graduation playbook. Turns sprawl into a managed capability.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$60K – $100K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10–14 wks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555555"/>
                <w:sz w:val="17"/>
                <w:szCs w:val="17"/>
              </w:rPr>
              <w:t xml:space="preserve">Infrastructure: Agents</w:t>
            </w:r>
          </w:p>
        </w:tc>
      </w:tr>
    </w:tbl>
    <w:p>
      <w:pPr>
        <w:spacing w:after="0" w:before="60"/>
      </w:pPr>
      <w:r>
        <w:t xml:space="preserve"/>
      </w:r>
    </w:p>
    <w:p>
      <w:pPr>
        <w:spacing w:after="60" w:before="60"/>
      </w:pPr>
      <w:r>
        <w:rPr>
          <w:rFonts w:ascii="Arial" w:cs="Arial" w:eastAsia="Arial" w:hAnsi="Arial"/>
          <w:color w:val="666666"/>
          <w:sz w:val="18"/>
          <w:szCs w:val="18"/>
        </w:rPr>
        <w:t xml:space="preserve">Entry bundles are the fastest way to get a client moving. Clients start with one bundle, see results, then expand into the tracks they need. All T&amp;M unless noted. Travel &amp; expenses billed at cost.</w:t>
      </w:r>
    </w:p>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Intelligent Enterprise  ·  Full-Programme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3A1F5D" w:val="clear"/>
            <w:tcMar>
              <w:top w:type="dxa" w:w="80"/>
              <w:left w:type="dxa" w:w="140"/>
              <w:bottom w:type="dxa" w:w="80"/>
              <w:right w:type="dxa" w:w="140"/>
            </w:tcMar>
          </w:tcPr>
          <w:p>
            <w:pPr>
              <w:spacing w:after="40" w:before="40"/>
            </w:pPr>
            <w:r>
              <w:rPr>
                <w:rFonts w:ascii="Arial" w:cs="Arial" w:eastAsia="Arial" w:hAnsi="Arial"/>
                <w:b/>
                <w:bCs/>
                <w:color w:val="FFFFFF"/>
                <w:sz w:val="22"/>
                <w:szCs w:val="22"/>
              </w:rPr>
              <w:t xml:space="preserve">INTELLIGENT ENTERPRISE  ·  Full-Programme Offer</w:t>
            </w:r>
          </w:p>
        </w:tc>
      </w:tr>
      <w:tr>
        <w:tc>
          <w:tcPr>
            <w:tcW w:type="dxa" w:w="9360"/>
            <w:tcBorders>
              <w:top w:val="single" w:color="7030A0" w:sz="1"/>
              <w:left w:val="single" w:color="7030A0" w:sz="1"/>
              <w:bottom w:val="single" w:color="7030A0" w:sz="1"/>
              <w:right w:val="single" w:color="7030A0" w:sz="1"/>
            </w:tcBorders>
            <w:shd w:fill="F5EEFB" w:val="clear"/>
            <w:tcMar>
              <w:top w:type="dxa" w:w="80"/>
              <w:left w:type="dxa" w:w="140"/>
              <w:bottom w:type="dxa" w:w="80"/>
              <w:right w:type="dxa" w:w="140"/>
            </w:tcMar>
          </w:tcPr>
          <w:p>
            <w:pPr>
              <w:spacing w:after="60" w:before="40"/>
            </w:pPr>
            <w:r>
              <w:rPr>
                <w:rFonts w:ascii="Arial" w:cs="Arial" w:eastAsia="Arial" w:hAnsi="Arial"/>
                <w:sz w:val="19"/>
                <w:szCs w:val="19"/>
              </w:rPr>
              <w:t xml:space="preserve">For mature organizations committing to full-scale autonomous AI deployment across key operational workflows. All four tracks, phased delivery with go/no-go checkpoints between phases.</w:t>
            </w:r>
          </w:p>
          <w:p>
            <w:pPr>
              <w:spacing w:after="20" w:before="20"/>
            </w:pPr>
            <w:r>
              <w:rPr>
                <w:rFonts w:ascii="Arial" w:cs="Arial" w:eastAsia="Arial" w:hAnsi="Arial"/>
                <w:b/>
                <w:bCs/>
                <w:sz w:val="19"/>
                <w:szCs w:val="19"/>
              </w:rPr>
              <w:t xml:space="preserve">Tracks covered:  </w:t>
            </w:r>
            <w:r>
              <w:rPr>
                <w:rFonts w:ascii="Arial" w:cs="Arial" w:eastAsia="Arial" w:hAnsi="Arial"/>
                <w:color w:val="333333"/>
                <w:sz w:val="19"/>
                <w:szCs w:val="19"/>
              </w:rPr>
              <w:t xml:space="preserve">Discovery  ·  Data Readiness  ·  Enablement (Exec Suite + Citizen Dev)  ·  Infrastructure (MCP + Agents)</w:t>
            </w:r>
          </w:p>
          <w:p>
            <w:pPr>
              <w:spacing w:after="20" w:before="20"/>
            </w:pPr>
            <w:r>
              <w:rPr>
                <w:rFonts w:ascii="Arial" w:cs="Arial" w:eastAsia="Arial" w:hAnsi="Arial"/>
                <w:b/>
                <w:bCs/>
                <w:sz w:val="19"/>
                <w:szCs w:val="19"/>
              </w:rPr>
              <w:t xml:space="preserve">Investment:  </w:t>
            </w:r>
            <w:r>
              <w:rPr>
                <w:rFonts w:ascii="Arial" w:cs="Arial" w:eastAsia="Arial" w:hAnsi="Arial"/>
                <w:b/>
                <w:bCs/>
                <w:color w:val="3A1F5D"/>
                <w:sz w:val="19"/>
                <w:szCs w:val="19"/>
              </w:rPr>
              <w:t xml:space="preserve">$89K – $190K+  CDN</w:t>
            </w:r>
          </w:p>
          <w:p>
            <w:pPr>
              <w:spacing w:after="20" w:before="20"/>
            </w:pPr>
            <w:r>
              <w:rPr>
                <w:rFonts w:ascii="Arial" w:cs="Arial" w:eastAsia="Arial" w:hAnsi="Arial"/>
                <w:b/>
                <w:bCs/>
                <w:sz w:val="19"/>
                <w:szCs w:val="19"/>
              </w:rPr>
              <w:t xml:space="preserve">Timeline:  </w:t>
            </w:r>
            <w:r>
              <w:rPr>
                <w:rFonts w:ascii="Arial" w:cs="Arial" w:eastAsia="Arial" w:hAnsi="Arial"/>
                <w:sz w:val="19"/>
                <w:szCs w:val="19"/>
              </w:rPr>
              <w:t xml:space="preserve">24–40 weeks  ·  phased delivery</w:t>
            </w:r>
          </w:p>
          <w:p>
            <w:pPr>
              <w:spacing w:after="40" w:before="20"/>
            </w:pPr>
            <w:r>
              <w:rPr>
                <w:rFonts w:ascii="Arial" w:cs="Arial" w:eastAsia="Arial" w:hAnsi="Arial"/>
                <w:b/>
                <w:bCs/>
                <w:sz w:val="19"/>
                <w:szCs w:val="19"/>
              </w:rPr>
              <w:t xml:space="preserve">Deliverables:  </w:t>
            </w:r>
            <w:r>
              <w:rPr>
                <w:rFonts w:ascii="Arial" w:cs="Arial" w:eastAsia="Arial" w:hAnsi="Arial"/>
                <w:color w:val="444444"/>
                <w:sz w:val="19"/>
                <w:szCs w:val="19"/>
              </w:rPr>
              <w:t xml:space="preserve">Full AI roadmap, data readiness scorecard, executive AI environment, citizen dev rollout, custom MCP infrastructure, production agents, Agent Command Centre dashboard</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Signature Productized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360"/>
        <w:gridCol w:w="1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SIGNATURE OFFERING</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TRACK</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WHAT IT DOES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PROOF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Executive Productivity Suite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B8640A"/>
                <w:sz w:val="19"/>
                <w:szCs w:val="19"/>
              </w:rPr>
              <w:t xml:space="preserve">Enablement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Custom Claude environment — knowledgebases, skills, prompt toolkits — deployed for leadership in weeks. Highest-converting entry 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Sprinklermatic / EJ Capital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Compliance Intelligence Agent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7030A0"/>
                <w:sz w:val="19"/>
                <w:szCs w:val="19"/>
              </w:rPr>
              <w:t xml:space="preserve">Infrastructure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Always-on AI agent ingesting and answering across the full compliance library with citation-grade accuracy.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NFPA agent live at Sprinklermatic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Data Intelligence Agent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7030A0"/>
                <w:sz w:val="19"/>
                <w:szCs w:val="19"/>
              </w:rPr>
              <w:t xml:space="preserve">Infrastructure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Autonomous monitoring, anomaly detection, and insight generation connected to the client's data warehouse.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RecirQ WhatsApp Sales Command Center</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Client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
            </w:r>
          </w:p>
        </w:tc>
        <w:tc>
          <w:tcPr>
            <w:tcW w:type="dxa" w:w="37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MID-MARKET  (Primary)</w:t>
            </w:r>
          </w:p>
        </w:tc>
        <w:tc>
          <w:tcPr>
            <w:tcW w:type="dxa" w:w="37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CANADIAN PUBLIC SECTOR  (Secondary)</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Size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$10M–$500M revenue · 50–2,500 employees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Municipal, higher ed, non-profits, intergovernmental agencies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Industries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E-commerce, financial services, construction, professional services, manufacturing, distribution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Ontario depth. FIPPA / PIPEDA fluency required.</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Decision cycle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30–90 days. CFO, COO, or CTO involved.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RFP/RFQ-driven, longer cycle. Vendor-of-record relationships help.</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Best entry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Enablement track (either offering)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Discovery or Data Readiness track</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Pricing note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Standard rate card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May flex. IRAP / CDAP / NSERC incentives may apply.</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Qualifying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QUALIFYING INDICATORS — Strong candidate if 3+ apply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Existing reporting / analytics workloads generating data consistently</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Operational pain from manual processes, data reconciliation, or delayed decisions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Existing cloud or Microsoft infrastructure investment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Leadership appetite for AI with identified budget authority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Employees already using Claude, ChatGPT, or similar tools informally (sprawl)</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Existing Alphabyte relationship in data, BI, or custom app development</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COMPETITOR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THEIR PITCH</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OUR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Global SIs
(Deloitte, Accenture)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"Enterprise AI transformation" — generic, scale-driven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1F3864"/>
                <w:sz w:val="19"/>
                <w:szCs w:val="19"/>
              </w:rPr>
              <w:t xml:space="preserve">Mid-market fit, sharper pricing, faster delivery, Canadian public-sector fluency, no junior bench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Upskilling Firms
(Section, AIHR)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"AI workforce transformation" — training without build capability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1F3864"/>
                <w:sz w:val="19"/>
                <w:szCs w:val="19"/>
              </w:rPr>
              <w:t xml:space="preserve">We teach AND ship the infrastructure that makes it compound. They cannot match the MCP / agent / on-prem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Mid-Market Boutiques
(T3 Consultants)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8"/>
                <w:szCs w:val="18"/>
              </w:rPr>
              <w:t xml:space="preserve">"Claude Enterprise implementation" — corporate, generic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1F3864"/>
                <w:sz w:val="19"/>
                <w:szCs w:val="19"/>
              </w:rPr>
              <w:t xml:space="preserve">Citizen dev angle + 10 years of data &amp; digital depth. Not a two-year-old AI shop with stock case studies.</w:t>
            </w:r>
          </w:p>
        </w:tc>
      </w:tr>
    </w:tbl>
    <w:p>
      <w:r>
        <w:br w:type="page"/>
      </w:r>
    </w:p>
    <w:p>
      <w:pPr>
        <w:pStyle w:val="Heading1"/>
        <w:shd w:fill="1F3864" w:val="clear"/>
        <w:spacing w:after="140" w:before="280"/>
      </w:pPr>
      <w:r>
        <w:rPr>
          <w:rFonts w:ascii="Arial" w:cs="Arial" w:eastAsia="Arial" w:hAnsi="Arial"/>
          <w:b/>
          <w:bCs/>
          <w:color w:val="FFFFFF"/>
          <w:sz w:val="26"/>
          <w:szCs w:val="26"/>
        </w:rPr>
        <w:t xml:space="preserve">PAGE 4  ·  DELIVERY REFERENCE</w:t>
      </w:r>
    </w:p>
    <w:p>
      <w:pPr>
        <w:spacing w:after="0" w:before="8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Rate Card — Canada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1800"/>
        <w:gridCol w:w="1600"/>
      </w:tblGrid>
      <w:tr>
        <w:trPr>
          <w:tblHeader/>
        </w:trPr>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REGULAR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AFTER-HOURS 1.5×</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EMERGENCY 2×</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AI Developer — MCP servers, agents, LLM integration, context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$350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$525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$700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Senior Consultant — Ontario (excl. Ottawa)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$225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$338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$450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Senior Consultant — Public 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$380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Intermediate — Ontario (excl. Ottawa)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$190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$285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$380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Intermediate — Public 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$350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Associate — Ontario (excl. Ottawa)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$290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Associate — Public 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$270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Consulting Dev Blended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$200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$400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Program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$400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Project Management — Ontario (excl. Ottawa)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$270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$360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Project Management — Public 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$350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Associate PM / Project Coordinator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$160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$240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$320</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End User Training / Adoption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w:t>
            </w:r>
          </w:p>
        </w:tc>
      </w:tr>
    </w:tbl>
    <w:p>
      <w:pPr>
        <w:spacing w:after="60" w:before="60"/>
      </w:pPr>
      <w:r>
        <w:rPr>
          <w:rFonts w:ascii="Arial" w:cs="Arial" w:eastAsia="Arial" w:hAnsi="Arial"/>
          <w:color w:val="666666"/>
          <w:sz w:val="18"/>
          <w:szCs w:val="18"/>
        </w:rPr>
        <w:t xml:space="preserve">All rates CDN, exclusive of applicable taxes. Standard hours: 8am–6pm local, Mon–Fri, excluding statutory holidays. After-hours: 1.5×. Emergency (next-business-day): 2×.</w:t>
      </w:r>
    </w:p>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Engagement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PHASE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KEY ACTIVITIES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OUTPUTS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1. Engagement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SOW finalization, team onboarding, access provisioning, kick-off, sprint planning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Project plan, RACI, comms cadence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2. Discovery &amp; Design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Stakeholder workshops, technical assessment, architecture design, use case prioritization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Requirements doc, solution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3. Build &amp; Iterate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Sprint-based dev (2-wk sprints), stakeholder demos, feedback integration, testing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Working AI components, test results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4. Deployment &amp; Validation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Production deployment, UAT, security review, performance validation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Deployed solution, UAT sign-off, benchmarks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5. Enablement &amp; Handoff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End-user training, documentation delivery, knowledge transfer, hypercare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9"/>
                <w:szCs w:val="19"/>
              </w:rPr>
              <w:t xml:space="preserve">Training materials, technical docs, hypercare plan</w:t>
            </w:r>
          </w:p>
        </w:tc>
      </w:tr>
    </w:tbl>
    <w:p>
      <w:pPr>
        <w:spacing w:after="0" w:before="140"/>
      </w:pPr>
      <w:r>
        <w:t xml:space="preserve"/>
      </w:r>
    </w:p>
    <w:p>
      <w:pPr>
        <w:pStyle w:val="Heading2"/>
        <w:pBdr>
          <w:bottom w:val="single" w:color="CCCCCC" w:sz="2" w:space="1"/>
        </w:pBdr>
        <w:spacing w:after="100" w:before="220"/>
      </w:pPr>
      <w:r>
        <w:rPr>
          <w:rFonts w:ascii="Arial" w:cs="Arial" w:eastAsia="Arial" w:hAnsi="Arial"/>
          <w:b/>
          <w:bCs/>
          <w:color w:val="1F3864"/>
          <w:sz w:val="22"/>
          <w:szCs w:val="22"/>
        </w:rPr>
        <w:t xml:space="preserve">Active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CLIENT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TRACKS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19"/>
                <w:szCs w:val="19"/>
              </w:rPr>
              <w:t xml:space="preserve">WHAT'S LIVE / IN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Sprinklermatic / EJ Capital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B8640A"/>
                <w:sz w:val="19"/>
                <w:szCs w:val="19"/>
              </w:rPr>
              <w:t xml:space="preserve">Enablement</w:t>
            </w:r>
          </w:p>
          <w:p>
            <w:pPr>
              <w:spacing w:after="20" w:before="20"/>
            </w:pPr>
            <w:r>
              <w:rPr>
                <w:rFonts w:ascii="Arial" w:cs="Arial" w:eastAsia="Arial" w:hAnsi="Arial"/>
                <w:b/>
                <w:bCs/>
                <w:color w:val="7030A0"/>
                <w:sz w:val="19"/>
                <w:szCs w:val="19"/>
              </w:rPr>
              <w:t xml:space="preserve">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Nine-initiative AI Command System. Azure data warehouse, custom remote MCP server (OAuth 2.0), Claude Desktop plugin with chained skills, HITL approval gate for five autonomous agents. NFPA compliance agent live. Proprietary fire protection estimating tool in development.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RecirQ / Reventory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20" w:before="20"/>
            </w:pPr>
            <w:r>
              <w:rPr>
                <w:rFonts w:ascii="Arial" w:cs="Arial" w:eastAsia="Arial" w:hAnsi="Arial"/>
                <w:b/>
                <w:bCs/>
                <w:color w:val="B8640A"/>
                <w:sz w:val="19"/>
                <w:szCs w:val="19"/>
              </w:rPr>
              <w:t xml:space="preserve">Enablement</w:t>
            </w:r>
          </w:p>
          <w:p>
            <w:pPr>
              <w:spacing w:after="20" w:before="20"/>
            </w:pPr>
            <w:r>
              <w:rPr>
                <w:rFonts w:ascii="Arial" w:cs="Arial" w:eastAsia="Arial" w:hAnsi="Arial"/>
                <w:b/>
                <w:bCs/>
                <w:color w:val="7030A0"/>
                <w:sz w:val="19"/>
                <w:szCs w:val="19"/>
              </w:rPr>
              <w:t xml:space="preserve">Infrastructure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Three parallel engagements: full Claude ops environment (MCP: Slack, BigQuery, Google Drive, WhatsApp, Fireflies); WhatsApp Sales Command Center with Claude-powered semantic analysis feeding real-time BigQuery dashboard; citizen dev enablement with custom SDLC plugin and governed data marts.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bCs/>
                <w:color w:val="000000"/>
                <w:sz w:val="19"/>
                <w:szCs w:val="19"/>
              </w:rPr>
              <w:t xml:space="preserve">Housing Services Corp.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2E5FA3"/>
                <w:sz w:val="19"/>
                <w:szCs w:val="19"/>
              </w:rPr>
              <w:t xml:space="preserve">Discovery</w:t>
            </w:r>
          </w:p>
          <w:p>
            <w:pPr>
              <w:spacing w:after="20" w:before="20"/>
            </w:pPr>
            <w:r>
              <w:rPr>
                <w:rFonts w:ascii="Arial" w:cs="Arial" w:eastAsia="Arial" w:hAnsi="Arial"/>
                <w:b/>
                <w:bCs/>
                <w:color w:val="538135"/>
                <w:sz w:val="19"/>
                <w:szCs w:val="19"/>
              </w:rPr>
              <w:t xml:space="preserve">Data Readiness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40" w:before="40"/>
              <w:jc w:val="left"/>
            </w:pPr>
            <w:r>
              <w:rPr>
                <w:rFonts w:ascii="Arial" w:cs="Arial" w:eastAsia="Arial" w:hAnsi="Arial"/>
                <w:b w:val="false"/>
                <w:bCs w:val="false"/>
                <w:color w:val="000000"/>
                <w:sz w:val="17"/>
                <w:szCs w:val="17"/>
              </w:rPr>
              <w:t xml:space="preserve">Data strategy and AI enablement roadmap delivered. R5 recommends Claude-based agents for cross-program reporting, anomaly detection, and workflow automation. Live pipeline opportunity as data foundation matures.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2" w:space="4"/>
      </w:pBdr>
      <w:spacing w:before="80"/>
    </w:pPr>
    <w:r>
      <w:rPr>
        <w:rFonts w:ascii="Arial" w:cs="Arial" w:eastAsia="Arial" w:hAnsi="Arial"/>
        <w:color w:val="888888"/>
        <w:sz w:val="16"/>
        <w:szCs w:val="16"/>
      </w:rPr>
      <w:t xml:space="preserve">Alphabyte AI  ·  AI Solutions Internal Reference  ·  v3.0  ·  Confidential  ·  alphabyte.ai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2026-04-23T19:32:39.164Z</dcterms:created>
  <dcterms:modified xsi:type="dcterms:W3CDTF">2026-04-23T19:32:39.166Z</dcterms:modified>
</cp:coreProperties>
</file>

<file path=docProps/custom.xml><?xml version="1.0" encoding="utf-8"?>
<Properties xmlns="http://schemas.openxmlformats.org/officeDocument/2006/custom-properties" xmlns:vt="http://schemas.openxmlformats.org/officeDocument/2006/docPropsVTypes"/>
</file>