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Times New Roman" w:cs="Times New Roman" w:eastAsia="Times New Roman" w:hAnsi="Times New Roman"/>
          <w:b/>
          <w:bCs/>
          <w:color w:val="595959"/>
          <w:sz w:val="32"/>
          <w:szCs w:val="32"/>
        </w:rPr>
        <w:t xml:space="preserve">LAPORAN PENYUSUNAN</w:t>
      </w:r>
    </w:p>
    <w:p>
      <w:pPr>
        <w:spacing w:after="0" w:before="160"/>
        <w:jc w:val="center"/>
      </w:pPr>
      <w:r>
        <w:rPr>
          <w:rFonts w:ascii="Times New Roman" w:cs="Times New Roman" w:eastAsia="Times New Roman" w:hAnsi="Times New Roman"/>
          <w:b/>
          <w:bCs/>
          <w:color w:val="1F3864"/>
          <w:sz w:val="52"/>
          <w:szCs w:val="52"/>
        </w:rPr>
        <w:t xml:space="preserve">PORTAL KOMUNIKASI KEHUMASAN</w:t>
      </w:r>
    </w:p>
    <w:p>
      <w:pPr>
        <w:spacing w:after="0" w:before="120"/>
        <w:jc w:val="center"/>
      </w:pPr>
      <w:r>
        <w:rPr>
          <w:rFonts w:ascii="Times New Roman" w:cs="Times New Roman" w:eastAsia="Times New Roman" w:hAnsi="Times New Roman"/>
          <w:b/>
          <w:bCs/>
          <w:color w:val="1F3864"/>
          <w:sz w:val="36"/>
          <w:szCs w:val="36"/>
        </w:rPr>
        <w:t xml:space="preserve">PUSAT DAN DAERAH</w:t>
      </w:r>
    </w:p>
    <w:p>
      <w:pPr>
        <w:pBdr>
          <w:bottom w:val="single" w:color="B8860B" w:sz="12"/>
        </w:pBdr>
        <w:spacing w:after="0" w:before="240"/>
        <w:jc w:val="center"/>
      </w:pPr>
      <w:r>
        <w:t xml:space="preserve"/>
      </w:r>
    </w:p>
    <w:p>
      <w:pPr>
        <w:spacing w:after="0" w:before="420"/>
        <w:jc w:val="center"/>
      </w:pPr>
      <w:r>
        <w:rPr>
          <w:rFonts w:ascii="Times New Roman" w:cs="Times New Roman" w:eastAsia="Times New Roman" w:hAnsi="Times New Roman"/>
          <w:sz w:val="26"/>
          <w:szCs w:val="26"/>
        </w:rPr>
        <w:t xml:space="preserve">Direktorat Jenderal Bimbingan Masyarakat Hindu</w:t>
      </w:r>
    </w:p>
    <w:p>
      <w:pPr>
        <w:spacing w:after="0" w:before="60"/>
        <w:jc w:val="center"/>
      </w:pPr>
      <w:r>
        <w:rPr>
          <w:rFonts w:ascii="Times New Roman" w:cs="Times New Roman" w:eastAsia="Times New Roman" w:hAnsi="Times New Roman"/>
          <w:sz w:val="26"/>
          <w:szCs w:val="26"/>
        </w:rPr>
        <w:t xml:space="preserve">Kementerian Agama Republik Indonesia</w:t>
      </w:r>
    </w:p>
    <w:p>
      <w:pPr>
        <w:spacing w:after="0" w:before="1400"/>
        <w:jc w:val="center"/>
      </w:pPr>
      <w:r>
        <w:rPr>
          <w:rFonts w:ascii="Times New Roman" w:cs="Times New Roman" w:eastAsia="Times New Roman" w:hAnsi="Times New Roman"/>
          <w:i/>
          <w:iCs/>
          <w:sz w:val="22"/>
          <w:szCs w:val="22"/>
        </w:rPr>
        <w:t xml:space="preserve">Disusun oleh Tim Humas dan Pranata Komputer</w:t>
      </w:r>
    </w:p>
    <w:p>
      <w:pPr>
        <w:spacing w:after="0" w:before="80"/>
        <w:jc w:val="center"/>
      </w:pPr>
      <w:r>
        <w:rPr>
          <w:rFonts w:ascii="Times New Roman" w:cs="Times New Roman" w:eastAsia="Times New Roman" w:hAnsi="Times New Roman"/>
          <w:sz w:val="22"/>
          <w:szCs w:val="22"/>
        </w:rPr>
        <w:t xml:space="preserve">Juli 2026</w:t>
      </w:r>
    </w:p>
    <w:p>
      <w:r>
        <w:br w:type="page"/>
      </w:r>
    </w:p>
    <w:p>
      <w:pPr>
        <w:pStyle w:val="Heading1"/>
        <w:spacing w:after="160" w:before="320"/>
      </w:pPr>
      <w:r>
        <w:rPr>
          <w:rFonts w:ascii="Times New Roman" w:cs="Times New Roman" w:eastAsia="Times New Roman" w:hAnsi="Times New Roman"/>
          <w:b/>
          <w:bCs/>
          <w:color w:val="1F3864"/>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before="200"/>
      </w:pPr>
      <w:r>
        <w:t xml:space="preserve"/>
      </w:r>
    </w:p>
    <w:p>
      <w:pPr>
        <w:spacing w:before="120"/>
        <w:jc w:val="center"/>
      </w:pPr>
      <w:r>
        <w:rPr>
          <w:rFonts w:ascii="Times New Roman" w:cs="Times New Roman" w:eastAsia="Times New Roman" w:hAnsi="Times New Roman"/>
          <w:i/>
          <w:iCs/>
          <w:color w:val="595959"/>
          <w:sz w:val="18"/>
          <w:szCs w:val="18"/>
        </w:rPr>
        <w:t xml:space="preserve">(Klik kanan pada daftar di atas → Update Field untuk memperbarui nomor halaman)</w:t>
      </w:r>
    </w:p>
    <w:p>
      <w:r>
        <w:br w:type="page"/>
      </w:r>
    </w:p>
    <w:p>
      <w:pPr>
        <w:pStyle w:val="Heading1"/>
        <w:spacing w:after="160" w:before="320"/>
      </w:pPr>
      <w:r>
        <w:rPr>
          <w:rFonts w:ascii="Times New Roman" w:cs="Times New Roman" w:eastAsia="Times New Roman" w:hAnsi="Times New Roman"/>
          <w:b/>
          <w:bCs/>
          <w:color w:val="1F3864"/>
          <w:sz w:val="28"/>
          <w:szCs w:val="28"/>
        </w:rPr>
        <w:t xml:space="preserve">I. PENDAHULUAN</w:t>
      </w:r>
    </w:p>
    <w:p>
      <w:pPr>
        <w:pStyle w:val="Heading2"/>
        <w:spacing w:after="120" w:before="240"/>
      </w:pPr>
      <w:r>
        <w:rPr>
          <w:rFonts w:ascii="Times New Roman" w:cs="Times New Roman" w:eastAsia="Times New Roman" w:hAnsi="Times New Roman"/>
          <w:b/>
          <w:bCs/>
          <w:color w:val="1F3864"/>
          <w:sz w:val="24"/>
          <w:szCs w:val="24"/>
        </w:rPr>
        <w:t xml:space="preserve">1.1 Latar Belakang</w:t>
      </w:r>
    </w:p>
    <w:p>
      <w:pPr>
        <w:spacing w:after="120" w:line="276"/>
        <w:jc w:val="both"/>
      </w:pPr>
      <w:r>
        <w:rPr>
          <w:rFonts w:ascii="Times New Roman" w:cs="Times New Roman" w:eastAsia="Times New Roman" w:hAnsi="Times New Roman"/>
          <w:sz w:val="22"/>
          <w:szCs w:val="22"/>
        </w:rPr>
        <w:t xml:space="preserve">Sebelum portal ini disusun, penerimaan bahan publikasi dari satuan kerja daerah dikelola melalui sembilan formulir Google Form yang terpisah, dengan satu lembar kerja tracking yang diperbarui secara manual. Pola kerja tersebut menimbulkan beberapa persoalan: data tersebar di sembilan tabel dengan struktur kolom yang tidak seragam, pengirim tidak memiliki cara untuk memantau status kiriman, dan Tim Humas harus merekap kemajuan secara manual.</w:t>
      </w:r>
    </w:p>
    <w:p>
      <w:pPr>
        <w:spacing w:after="120" w:line="276"/>
        <w:jc w:val="both"/>
      </w:pPr>
      <w:r>
        <w:rPr>
          <w:rFonts w:ascii="Times New Roman" w:cs="Times New Roman" w:eastAsia="Times New Roman" w:hAnsi="Times New Roman"/>
          <w:sz w:val="22"/>
          <w:szCs w:val="22"/>
        </w:rPr>
        <w:t xml:space="preserve">Portal Komunikasi Kehumasan disusun untuk menyatukan kesembilan alur tersebut ke dalam satu pintu masuk, sekaligus memberi pengirim kemampuan memantau status secara mandiri melalui nomor tiket, serta memberi Tim Humas satu papan kerja untuk menelaah, menyetujui, menolak, dan menugaskan bahan.</w:t>
      </w:r>
    </w:p>
    <w:p>
      <w:pPr>
        <w:pStyle w:val="Heading2"/>
        <w:spacing w:after="120" w:before="240"/>
      </w:pPr>
      <w:r>
        <w:rPr>
          <w:rFonts w:ascii="Times New Roman" w:cs="Times New Roman" w:eastAsia="Times New Roman" w:hAnsi="Times New Roman"/>
          <w:b/>
          <w:bCs/>
          <w:color w:val="1F3864"/>
          <w:sz w:val="24"/>
          <w:szCs w:val="24"/>
        </w:rPr>
        <w:t xml:space="preserve">1.2 Maksud dan Tujuan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Menyediakan satu pintu pengiriman bahan publikasi untuk seluruh satuan kerja daerah.</w:t>
      </w:r>
    </w:p>
    <w:p>
      <w:pPr>
        <w:pStyle w:val="ListParagraph"/>
        <w:numPr>
          <w:ilvl w:val="0"/>
          <w:numId w:val="2"/>
        </w:numPr>
        <w:spacing w:after="80" w:line="276"/>
        <w:jc w:val="both"/>
      </w:pPr>
      <w:r>
        <w:rPr>
          <w:rFonts w:ascii="Times New Roman" w:cs="Times New Roman" w:eastAsia="Times New Roman" w:hAnsi="Times New Roman"/>
          <w:sz w:val="22"/>
          <w:szCs w:val="22"/>
        </w:rPr>
        <w:t xml:space="preserve">Memberikan transparansi status kepada pengirim melalui nomor tiket dan lini masa.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Menyediakan papan kerja terpusat bagi Tim Humas untuk proses telaah dan penugasan.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Menjaga konsistensi data melalui pilihan terkendali pada isian wilayah, instansi, dan kategori.</w:t>
      </w:r>
    </w:p>
    <w:p>
      <w:pPr>
        <w:pStyle w:val="ListParagraph"/>
        <w:numPr>
          <w:ilvl w:val="0"/>
          <w:numId w:val="2"/>
        </w:numPr>
        <w:spacing w:after="80" w:line="276"/>
        <w:jc w:val="both"/>
      </w:pPr>
      <w:r>
        <w:rPr>
          <w:rFonts w:ascii="Times New Roman" w:cs="Times New Roman" w:eastAsia="Times New Roman" w:hAnsi="Times New Roman"/>
          <w:sz w:val="22"/>
          <w:szCs w:val="22"/>
        </w:rPr>
        <w:t xml:space="preserve">Menyajikan statistik penerimaan bahan secara terbuka sebagai bentuk apresiasi kontribusi daerah.</w:t>
      </w:r>
    </w:p>
    <w:p>
      <w:pPr>
        <w:pStyle w:val="Heading2"/>
        <w:spacing w:after="120" w:before="240"/>
      </w:pPr>
      <w:r>
        <w:rPr>
          <w:rFonts w:ascii="Times New Roman" w:cs="Times New Roman" w:eastAsia="Times New Roman" w:hAnsi="Times New Roman"/>
          <w:b/>
          <w:bCs/>
          <w:color w:val="1F3864"/>
          <w:sz w:val="24"/>
          <w:szCs w:val="24"/>
        </w:rPr>
        <w:t xml:space="preserve">1.3 Ruang Lingkup</w:t>
      </w:r>
    </w:p>
    <w:p>
      <w:pPr>
        <w:spacing w:after="120" w:line="276"/>
        <w:jc w:val="both"/>
      </w:pPr>
      <w:r>
        <w:rPr>
          <w:rFonts w:ascii="Times New Roman" w:cs="Times New Roman" w:eastAsia="Times New Roman" w:hAnsi="Times New Roman"/>
          <w:sz w:val="22"/>
          <w:szCs w:val="22"/>
        </w:rPr>
        <w:t xml:space="preserve">Sistem mencakup portal publik (pengiriman bahan dan pemeriksaan status), dashboard admin (telaah, penugasan, analitik, pengelolaan akun), serta migrasi data historis dari sembilan formulir lama. Sistem tidak mencakup penerbitan konten ke kanal publikasi, yang tetap dilakukan melalui kanal resmi masing-masing.</w:t>
      </w:r>
    </w:p>
    <w:p>
      <w:pPr>
        <w:pStyle w:val="Heading1"/>
        <w:spacing w:after="160" w:before="320"/>
      </w:pPr>
      <w:r>
        <w:rPr>
          <w:rFonts w:ascii="Times New Roman" w:cs="Times New Roman" w:eastAsia="Times New Roman" w:hAnsi="Times New Roman"/>
          <w:b/>
          <w:bCs/>
          <w:color w:val="1F3864"/>
          <w:sz w:val="28"/>
          <w:szCs w:val="28"/>
        </w:rPr>
        <w:t xml:space="preserve">II. ARSITEKTUR DAN TEKNOLOGI</w:t>
      </w:r>
    </w:p>
    <w:p>
      <w:pPr>
        <w:pStyle w:val="Heading2"/>
        <w:spacing w:after="120" w:before="240"/>
      </w:pPr>
      <w:r>
        <w:rPr>
          <w:rFonts w:ascii="Times New Roman" w:cs="Times New Roman" w:eastAsia="Times New Roman" w:hAnsi="Times New Roman"/>
          <w:b/>
          <w:bCs/>
          <w:color w:val="1F3864"/>
          <w:sz w:val="24"/>
          <w:szCs w:val="24"/>
        </w:rPr>
        <w:t xml:space="preserve">2.1 Pilihan Teknologi</w:t>
      </w:r>
    </w:p>
    <w:p>
      <w:pPr>
        <w:spacing w:after="120" w:line="276"/>
        <w:jc w:val="both"/>
      </w:pPr>
      <w:r>
        <w:rPr>
          <w:rFonts w:ascii="Times New Roman" w:cs="Times New Roman" w:eastAsia="Times New Roman" w:hAnsi="Times New Roman"/>
          <w:sz w:val="22"/>
          <w:szCs w:val="22"/>
        </w:rPr>
        <w:t xml:space="preserve">Sistem dibangun di atas Google Apps Script dengan Google Spreadsheet sebagai basis data dan Google Drive sebagai penyimpanan berkas. Pilihan ini diambil karena seluruh infrastruktur telah tersedia dalam lingkungan akun kedinasan yang ada, tidak memerlukan biaya server, tidak memerlukan proses build, dan dapat dipelihara tanpa ketergantungan pada vendor luar.</w:t>
      </w:r>
    </w:p>
    <w:p>
      <w:pPr>
        <w:spacing w:after="120" w:line="276"/>
        <w:jc w:val="both"/>
      </w:pPr>
      <w:r>
        <w:rPr>
          <w:rFonts w:ascii="Times New Roman" w:cs="Times New Roman" w:eastAsia="Times New Roman" w:hAnsi="Times New Roman"/>
          <w:sz w:val="22"/>
          <w:szCs w:val="22"/>
        </w:rPr>
        <w:t xml:space="preserve">Antarmuka ditulis sebagai HTML, CSS, dan JavaScript murni tanpa framework maupun bundler. Satu-satunya pustaka pihak ketiga adalah penampil model tiga dimensi yang dimuat secara opsional pada halaman depan.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318"/>
        <w:gridCol w:w="3090"/>
        <w:gridCol w:w="3380"/>
      </w:tblGrid>
      <w:tr>
        <w:trPr>
          <w:tblHeader/>
        </w:trPr>
        <w:tc>
          <w:tcPr>
            <w:tcW w:type="dxa" w:w="2318"/>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Lapisan</w:t>
            </w:r>
          </w:p>
        </w:tc>
        <w:tc>
          <w:tcPr>
            <w:tcW w:type="dxa" w:w="3090"/>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Teknologi</w:t>
            </w:r>
          </w:p>
        </w:tc>
        <w:tc>
          <w:tcPr>
            <w:tcW w:type="dxa" w:w="3380"/>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Keterangan</w:t>
            </w:r>
          </w:p>
        </w:tc>
      </w:tr>
      <w:tr>
        <w:tc>
          <w:tcPr>
            <w:tcW w:type="dxa" w:w="2318"/>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Backend</w:t>
            </w:r>
          </w:p>
        </w:tc>
        <w:tc>
          <w:tcPr>
            <w:tcW w:type="dxa" w:w="309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Google Apps Script</w:t>
            </w:r>
          </w:p>
        </w:tc>
        <w:tc>
          <w:tcPr>
            <w:tcW w:type="dxa" w:w="338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Routing, validasi, kontrol akses</w:t>
            </w:r>
          </w:p>
        </w:tc>
      </w:tr>
      <w:tr>
        <w:tc>
          <w:tcPr>
            <w:tcW w:type="dxa" w:w="2318"/>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Basis data</w:t>
            </w:r>
          </w:p>
        </w:tc>
        <w:tc>
          <w:tcPr>
            <w:tcW w:type="dxa" w:w="309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Google Spreadsheet</w:t>
            </w:r>
          </w:p>
        </w:tc>
        <w:tc>
          <w:tcPr>
            <w:tcW w:type="dxa" w:w="338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Sheet: Submissions, Admins, Riwayat</w:t>
            </w:r>
          </w:p>
        </w:tc>
      </w:tr>
      <w:tr>
        <w:tc>
          <w:tcPr>
            <w:tcW w:type="dxa" w:w="2318"/>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Penyimpanan</w:t>
            </w:r>
          </w:p>
        </w:tc>
        <w:tc>
          <w:tcPr>
            <w:tcW w:type="dxa" w:w="309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Google Drive</w:t>
            </w:r>
          </w:p>
        </w:tc>
        <w:tc>
          <w:tcPr>
            <w:tcW w:type="dxa" w:w="338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Berkas per kategori/bulan/tiket</w:t>
            </w:r>
          </w:p>
        </w:tc>
      </w:tr>
      <w:tr>
        <w:tc>
          <w:tcPr>
            <w:tcW w:type="dxa" w:w="2318"/>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Frontend publik</w:t>
            </w:r>
          </w:p>
        </w:tc>
        <w:tc>
          <w:tcPr>
            <w:tcW w:type="dxa" w:w="309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HTML/CSS/JS murni</w:t>
            </w:r>
          </w:p>
        </w:tc>
        <w:tc>
          <w:tcPr>
            <w:tcW w:type="dxa" w:w="338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index.html</w:t>
            </w:r>
          </w:p>
        </w:tc>
      </w:tr>
      <w:tr>
        <w:tc>
          <w:tcPr>
            <w:tcW w:type="dxa" w:w="2318"/>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Frontend admin</w:t>
            </w:r>
          </w:p>
        </w:tc>
        <w:tc>
          <w:tcPr>
            <w:tcW w:type="dxa" w:w="309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HTML/CSS/JS murni</w:t>
            </w:r>
          </w:p>
        </w:tc>
        <w:tc>
          <w:tcPr>
            <w:tcW w:type="dxa" w:w="338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admin.html</w:t>
            </w:r>
          </w:p>
        </w:tc>
      </w:tr>
      <w:tr>
        <w:tc>
          <w:tcPr>
            <w:tcW w:type="dxa" w:w="2318"/>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Penerapan</w:t>
            </w:r>
          </w:p>
        </w:tc>
        <w:tc>
          <w:tcPr>
            <w:tcW w:type="dxa" w:w="309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clasp + GitHub Actions</w:t>
            </w:r>
          </w:p>
        </w:tc>
        <w:tc>
          <w:tcPr>
            <w:tcW w:type="dxa" w:w="338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Otomatis saat perubahan disetorkan</w:t>
            </w:r>
          </w:p>
        </w:tc>
      </w:tr>
    </w:tbl>
    <w:p>
      <w:pPr>
        <w:spacing w:after="200" w:before="80"/>
        <w:jc w:val="center"/>
      </w:pPr>
      <w:r>
        <w:rPr>
          <w:rFonts w:ascii="Times New Roman" w:cs="Times New Roman" w:eastAsia="Times New Roman" w:hAnsi="Times New Roman"/>
          <w:i/>
          <w:iCs/>
          <w:color w:val="595959"/>
          <w:sz w:val="18"/>
          <w:szCs w:val="18"/>
        </w:rPr>
        <w:t xml:space="preserve">Tabel 1. Susunan teknologi sistem</w:t>
      </w:r>
    </w:p>
    <w:p>
      <w:pPr>
        <w:pStyle w:val="Heading2"/>
        <w:spacing w:after="120" w:before="240"/>
      </w:pPr>
      <w:r>
        <w:rPr>
          <w:rFonts w:ascii="Times New Roman" w:cs="Times New Roman" w:eastAsia="Times New Roman" w:hAnsi="Times New Roman"/>
          <w:b/>
          <w:bCs/>
          <w:color w:val="1F3864"/>
          <w:sz w:val="24"/>
          <w:szCs w:val="24"/>
        </w:rPr>
        <w:t xml:space="preserve">2.2 Struktur Berkas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511"/>
        <w:gridCol w:w="1545"/>
        <w:gridCol w:w="4732"/>
      </w:tblGrid>
      <w:tr>
        <w:trPr>
          <w:tblHeader/>
        </w:trPr>
        <w:tc>
          <w:tcPr>
            <w:tcW w:type="dxa" w:w="2511"/>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Berkas</w:t>
            </w:r>
          </w:p>
        </w:tc>
        <w:tc>
          <w:tcPr>
            <w:tcW w:type="dxa" w:w="1545"/>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Ukuran</w:t>
            </w:r>
          </w:p>
        </w:tc>
        <w:tc>
          <w:tcPr>
            <w:tcW w:type="dxa" w:w="4732"/>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Peran</w:t>
            </w:r>
          </w:p>
        </w:tc>
      </w:tr>
      <w:tr>
        <w:tc>
          <w:tcPr>
            <w:tcW w:type="dxa" w:w="2511"/>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Code.js</w:t>
            </w:r>
          </w:p>
        </w:tc>
        <w:tc>
          <w:tcPr>
            <w:tcW w:type="dxa" w:w="154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793 baris</w:t>
            </w:r>
          </w:p>
        </w:tc>
        <w:tc>
          <w:tcPr>
            <w:tcW w:type="dxa" w:w="473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Seluruh fungsi sisi peladen</w:t>
            </w:r>
          </w:p>
        </w:tc>
      </w:tr>
      <w:tr>
        <w:tc>
          <w:tcPr>
            <w:tcW w:type="dxa" w:w="2511"/>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index.html</w:t>
            </w:r>
          </w:p>
        </w:tc>
        <w:tc>
          <w:tcPr>
            <w:tcW w:type="dxa" w:w="154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1.624 baris</w:t>
            </w:r>
          </w:p>
        </w:tc>
        <w:tc>
          <w:tcPr>
            <w:tcW w:type="dxa" w:w="473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Portal publik: beranda, formulir, cek status</w:t>
            </w:r>
          </w:p>
        </w:tc>
      </w:tr>
      <w:tr>
        <w:tc>
          <w:tcPr>
            <w:tcW w:type="dxa" w:w="2511"/>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admin.html</w:t>
            </w:r>
          </w:p>
        </w:tc>
        <w:tc>
          <w:tcPr>
            <w:tcW w:type="dxa" w:w="154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991 baris</w:t>
            </w:r>
          </w:p>
        </w:tc>
        <w:tc>
          <w:tcPr>
            <w:tcW w:type="dxa" w:w="473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Dashboard admin</w:t>
            </w:r>
          </w:p>
        </w:tc>
      </w:tr>
      <w:tr>
        <w:tc>
          <w:tcPr>
            <w:tcW w:type="dxa" w:w="2511"/>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puradata.js</w:t>
            </w:r>
          </w:p>
        </w:tc>
        <w:tc>
          <w:tcPr>
            <w:tcW w:type="dxa" w:w="154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272 KB</w:t>
            </w:r>
          </w:p>
        </w:tc>
        <w:tc>
          <w:tcPr>
            <w:tcW w:type="dxa" w:w="473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Data model tiga dimensi (base64)</w:t>
            </w:r>
          </w:p>
        </w:tc>
      </w:tr>
      <w:tr>
        <w:tc>
          <w:tcPr>
            <w:tcW w:type="dxa" w:w="2511"/>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appsscript.json</w:t>
            </w:r>
          </w:p>
        </w:tc>
        <w:tc>
          <w:tcPr>
            <w:tcW w:type="dxa" w:w="154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w:t>
            </w:r>
          </w:p>
        </w:tc>
        <w:tc>
          <w:tcPr>
            <w:tcW w:type="dxa" w:w="473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Manifes izin dan konfigurasi web app</w:t>
            </w:r>
          </w:p>
        </w:tc>
      </w:tr>
    </w:tbl>
    <w:p>
      <w:pPr>
        <w:spacing w:after="200" w:before="80"/>
        <w:jc w:val="center"/>
      </w:pPr>
      <w:r>
        <w:rPr>
          <w:rFonts w:ascii="Times New Roman" w:cs="Times New Roman" w:eastAsia="Times New Roman" w:hAnsi="Times New Roman"/>
          <w:i/>
          <w:iCs/>
          <w:color w:val="595959"/>
          <w:sz w:val="18"/>
          <w:szCs w:val="18"/>
        </w:rPr>
        <w:t xml:space="preserve">Tabel 2. Berkas utama dan perannya</w:t>
      </w:r>
    </w:p>
    <w:p>
      <w:pPr>
        <w:pStyle w:val="Heading1"/>
        <w:spacing w:after="160" w:before="320"/>
      </w:pPr>
      <w:r>
        <w:rPr>
          <w:rFonts w:ascii="Times New Roman" w:cs="Times New Roman" w:eastAsia="Times New Roman" w:hAnsi="Times New Roman"/>
          <w:b/>
          <w:bCs/>
          <w:color w:val="1F3864"/>
          <w:sz w:val="28"/>
          <w:szCs w:val="28"/>
        </w:rPr>
        <w:t xml:space="preserve">III. PORTAL PUBLIK</w:t>
      </w:r>
    </w:p>
    <w:p>
      <w:pPr>
        <w:pStyle w:val="Heading2"/>
        <w:spacing w:after="120" w:before="240"/>
      </w:pPr>
      <w:r>
        <w:rPr>
          <w:rFonts w:ascii="Times New Roman" w:cs="Times New Roman" w:eastAsia="Times New Roman" w:hAnsi="Times New Roman"/>
          <w:b/>
          <w:bCs/>
          <w:color w:val="1F3864"/>
          <w:sz w:val="24"/>
          <w:szCs w:val="24"/>
        </w:rPr>
        <w:t xml:space="preserve">3.1 Pengiriman Bahan</w:t>
      </w:r>
    </w:p>
    <w:p>
      <w:pPr>
        <w:spacing w:after="120" w:line="276"/>
        <w:jc w:val="both"/>
      </w:pPr>
      <w:r>
        <w:rPr>
          <w:rFonts w:ascii="Times New Roman" w:cs="Times New Roman" w:eastAsia="Times New Roman" w:hAnsi="Times New Roman"/>
          <w:sz w:val="22"/>
          <w:szCs w:val="22"/>
        </w:rPr>
        <w:t xml:space="preserve">Portal menyediakan sembilan kategori bahan publikasi. Setiap kategori memiliki susunan isian, ketentuan, dan persyaratan berkas tersendiri yang dikelola dari satu tempat konfigurasi, sehingga penambahan atau perubahan kategori tidak menuntut penulisan ulang formulir.</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676"/>
        <w:gridCol w:w="4056"/>
        <w:gridCol w:w="4056"/>
      </w:tblGrid>
      <w:tr>
        <w:trPr>
          <w:tblHeader/>
        </w:trPr>
        <w:tc>
          <w:tcPr>
            <w:tcW w:type="dxa" w:w="676"/>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No</w:t>
            </w:r>
          </w:p>
        </w:tc>
        <w:tc>
          <w:tcPr>
            <w:tcW w:type="dxa" w:w="4056"/>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Kategori</w:t>
            </w:r>
          </w:p>
        </w:tc>
        <w:tc>
          <w:tcPr>
            <w:tcW w:type="dxa" w:w="4056"/>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Berkas yang diminta</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1</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Berita Daerah</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Notulen/bahan berita, foto dokumentasi</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2</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Berita Widyalaya</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Notulen/bahan berita, foto dokumentasi</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3</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Berita PTKH</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Notulen/bahan berita, foto dokumentasi</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4</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Naskah Mimbar Hindu</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Naskah, foto penulis</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5</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Wisata Religi</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Naskah/artikel, minimal 3 foto</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6</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Berita Pasraman</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Notulen/bahan berita, foto dokumentasi</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7</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Bahan Konten Medsos</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Naskah/caption, foto dokumentasi</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8</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Artikel Kisah Inspiratif</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Naskah artikel, foto</w:t>
            </w:r>
          </w:p>
        </w:tc>
      </w:tr>
      <w:tr>
        <w:tc>
          <w:tcPr>
            <w:tcW w:type="dxa" w:w="67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9</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Video Mimbar Hindu</w:t>
            </w:r>
          </w:p>
        </w:tc>
        <w:tc>
          <w:tcPr>
            <w:tcW w:type="dxa" w:w="405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Naskah/sinopsis, tautan video</w:t>
            </w:r>
          </w:p>
        </w:tc>
      </w:tr>
    </w:tbl>
    <w:p>
      <w:pPr>
        <w:spacing w:after="200" w:before="80"/>
        <w:jc w:val="center"/>
      </w:pPr>
      <w:r>
        <w:rPr>
          <w:rFonts w:ascii="Times New Roman" w:cs="Times New Roman" w:eastAsia="Times New Roman" w:hAnsi="Times New Roman"/>
          <w:i/>
          <w:iCs/>
          <w:color w:val="595959"/>
          <w:sz w:val="18"/>
          <w:szCs w:val="18"/>
        </w:rPr>
        <w:t xml:space="preserve">Tabel 3. Kategori bahan publikasi</w:t>
      </w:r>
    </w:p>
    <w:p>
      <w:pPr>
        <w:spacing w:after="120" w:line="276"/>
        <w:jc w:val="both"/>
      </w:pPr>
      <w:r>
        <w:rPr>
          <w:rFonts w:ascii="Times New Roman" w:cs="Times New Roman" w:eastAsia="Times New Roman" w:hAnsi="Times New Roman"/>
          <w:sz w:val="22"/>
          <w:szCs w:val="22"/>
        </w:rPr>
        <w:t xml:space="preserve">Setiap kiriman menerima nomor tiket dengan format PKH-TTTTBB-NNNN, dengan nomor urut dihitung ulang setiap bulan. Penomoran dilakukan di dalam kunci skrip untuk mencegah tabrakan nomor apabila dua pengiriman terjadi bersamaan.</w:t>
      </w:r>
    </w:p>
    <w:p>
      <w:pPr>
        <w:pStyle w:val="Heading2"/>
        <w:spacing w:after="120" w:before="240"/>
      </w:pPr>
      <w:r>
        <w:rPr>
          <w:rFonts w:ascii="Times New Roman" w:cs="Times New Roman" w:eastAsia="Times New Roman" w:hAnsi="Times New Roman"/>
          <w:b/>
          <w:bCs/>
          <w:color w:val="1F3864"/>
          <w:sz w:val="24"/>
          <w:szCs w:val="24"/>
        </w:rPr>
        <w:t xml:space="preserve">3.2 Kendali Mutu Isian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Provinsi dan kabupaten/kota dipilih dari daftar bertingkat, sehingga wilayah tidak lagi diketik bebas.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Instansi dipilih dari daftar baku (Kanwil, Kankemenag, dan lima perguruan tinggi keagamaan Hindu negeri), dengan pilihan "Lainnya" untuk kasus di luar daftar.</w:t>
      </w:r>
    </w:p>
    <w:p>
      <w:pPr>
        <w:pStyle w:val="ListParagraph"/>
        <w:numPr>
          <w:ilvl w:val="0"/>
          <w:numId w:val="2"/>
        </w:numPr>
        <w:spacing w:after="80" w:line="276"/>
        <w:jc w:val="both"/>
      </w:pPr>
      <w:r>
        <w:rPr>
          <w:rFonts w:ascii="Times New Roman" w:cs="Times New Roman" w:eastAsia="Times New Roman" w:hAnsi="Times New Roman"/>
          <w:sz w:val="22"/>
          <w:szCs w:val="22"/>
        </w:rPr>
        <w:t xml:space="preserve">Nomor WhatsApp divalidasi formatnya, dan nama penulis diwajibkan pada seluruh kategori.</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Persyaratan jumlah berkas diperiksa sebelum kiriman dapat dikirimkan.</w:t>
      </w:r>
    </w:p>
    <w:p>
      <w:pPr>
        <w:pStyle w:val="Heading2"/>
        <w:spacing w:after="120" w:before="240"/>
      </w:pPr>
      <w:r>
        <w:rPr>
          <w:rFonts w:ascii="Times New Roman" w:cs="Times New Roman" w:eastAsia="Times New Roman" w:hAnsi="Times New Roman"/>
          <w:b/>
          <w:bCs/>
          <w:color w:val="1F3864"/>
          <w:sz w:val="24"/>
          <w:szCs w:val="24"/>
        </w:rPr>
        <w:t xml:space="preserve">3.3 Pemeriksaan Status dan Revisi</w:t>
      </w:r>
    </w:p>
    <w:p>
      <w:pPr>
        <w:spacing w:after="120" w:line="276"/>
        <w:jc w:val="both"/>
      </w:pPr>
      <w:r>
        <w:rPr>
          <w:rFonts w:ascii="Times New Roman" w:cs="Times New Roman" w:eastAsia="Times New Roman" w:hAnsi="Times New Roman"/>
          <w:sz w:val="22"/>
          <w:szCs w:val="22"/>
        </w:rPr>
        <w:t xml:space="preserve">Pengirim dapat memeriksa status menggunakan nomor tiket atau nomor WhatsApp yang digunakan saat mengirim. Status ditampilkan dalam bentuk lini masa dengan tahapan Direview hingga Selesai, disertai catatan dari Tim Humas apabila ada.</w:t>
      </w:r>
    </w:p>
    <w:p>
      <w:pPr>
        <w:spacing w:after="120" w:line="276"/>
        <w:jc w:val="both"/>
      </w:pPr>
      <w:r>
        <w:rPr>
          <w:rFonts w:ascii="Times New Roman" w:cs="Times New Roman" w:eastAsia="Times New Roman" w:hAnsi="Times New Roman"/>
          <w:sz w:val="22"/>
          <w:szCs w:val="22"/>
        </w:rPr>
        <w:t xml:space="preserve">Apabila Tim Humas meminta revisi, pengirim memperoleh tombol untuk memperbaiki kiriman. Formulir revisi hanya membuka isian yang ditandai perlu diperbaiki; isian lain dikunci agar data yang sudah benar tidak berubah. Berkas yang diunggah ulang menggantikan berkas lama pada bagian tersebut, dan berkas lama dihapus dari penyimpanan agar tidak menumpuk.</w:t>
      </w:r>
    </w:p>
    <w:p>
      <w:pPr>
        <w:pStyle w:val="Heading2"/>
        <w:spacing w:after="120" w:before="240"/>
      </w:pPr>
      <w:r>
        <w:rPr>
          <w:rFonts w:ascii="Times New Roman" w:cs="Times New Roman" w:eastAsia="Times New Roman" w:hAnsi="Times New Roman"/>
          <w:b/>
          <w:bCs/>
          <w:color w:val="1F3864"/>
          <w:sz w:val="24"/>
          <w:szCs w:val="24"/>
        </w:rPr>
        <w:t xml:space="preserve">3.4 Statistik Terbuka</w:t>
      </w:r>
    </w:p>
    <w:p>
      <w:pPr>
        <w:spacing w:after="120" w:line="276"/>
        <w:jc w:val="both"/>
      </w:pPr>
      <w:r>
        <w:rPr>
          <w:rFonts w:ascii="Times New Roman" w:cs="Times New Roman" w:eastAsia="Times New Roman" w:hAnsi="Times New Roman"/>
          <w:sz w:val="22"/>
          <w:szCs w:val="22"/>
        </w:rPr>
        <w:t xml:space="preserve">Halaman depan menampilkan dua papan peringkat: jumlah bahan yang disetujui per provinsi untuk seluruh 38 provinsi, dan jumlah per perguruan tinggi keagamaan Hindu. Perhitungan didasarkan pada daftar wilayah resmi, bukan pada nilai apa adanya di basis data, sehingga kesalahan penulisan pada data lama tidak memunculkan entri wilayah yang keliru.</w:t>
      </w:r>
    </w:p>
    <w:p>
      <w:pPr>
        <w:pStyle w:val="Heading1"/>
        <w:spacing w:after="160" w:before="320"/>
      </w:pPr>
      <w:r>
        <w:rPr>
          <w:rFonts w:ascii="Times New Roman" w:cs="Times New Roman" w:eastAsia="Times New Roman" w:hAnsi="Times New Roman"/>
          <w:b/>
          <w:bCs/>
          <w:color w:val="1F3864"/>
          <w:sz w:val="28"/>
          <w:szCs w:val="28"/>
        </w:rPr>
        <w:t xml:space="preserve">IV. DASHBOARD ADMIN</w:t>
      </w:r>
    </w:p>
    <w:p>
      <w:pPr>
        <w:pStyle w:val="Heading2"/>
        <w:spacing w:after="120" w:before="240"/>
      </w:pPr>
      <w:r>
        <w:rPr>
          <w:rFonts w:ascii="Times New Roman" w:cs="Times New Roman" w:eastAsia="Times New Roman" w:hAnsi="Times New Roman"/>
          <w:b/>
          <w:bCs/>
          <w:color w:val="1F3864"/>
          <w:sz w:val="24"/>
          <w:szCs w:val="24"/>
        </w:rPr>
        <w:t xml:space="preserve">4.1 Akses dan Peran</w:t>
      </w:r>
    </w:p>
    <w:p>
      <w:pPr>
        <w:spacing w:after="120" w:line="276"/>
        <w:jc w:val="both"/>
      </w:pPr>
      <w:r>
        <w:rPr>
          <w:rFonts w:ascii="Times New Roman" w:cs="Times New Roman" w:eastAsia="Times New Roman" w:hAnsi="Times New Roman"/>
          <w:sz w:val="22"/>
          <w:szCs w:val="22"/>
        </w:rPr>
        <w:t xml:space="preserve">Dashboard diakses melalui alamat tersendiri dan tidak ditautkan dari halaman publik. Autentikasi menggunakan kode akses yang tersimpan pada sheet Admins dan diverifikasi ulang di sisi peladen pada setiap tindakan, bukan hanya pada saat masuk. Terdapat dua peran, yaitu super admin dan admin, dengan ketentuan hanya boleh ada satu super admin.</w:t>
      </w:r>
    </w:p>
    <w:p>
      <w:pPr>
        <w:pStyle w:val="Heading2"/>
        <w:spacing w:after="120" w:before="240"/>
      </w:pPr>
      <w:r>
        <w:rPr>
          <w:rFonts w:ascii="Times New Roman" w:cs="Times New Roman" w:eastAsia="Times New Roman" w:hAnsi="Times New Roman"/>
          <w:b/>
          <w:bCs/>
          <w:color w:val="1F3864"/>
          <w:sz w:val="24"/>
          <w:szCs w:val="24"/>
        </w:rPr>
        <w:t xml:space="preserve">4.2 Fungsi Utama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Antrean bahan dalam tampilan tabel maupun kanban, dengan penyaringan menurut kategori, provinsi, status, eksekutor, kata kunci, dan rentang tanggal.</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Tindakan telaah: menyetujui, menolak disertai alasan, meminta revisi pada isian tertentu, dan menugaskan eksekutor.</w:t>
      </w:r>
    </w:p>
    <w:p>
      <w:pPr>
        <w:pStyle w:val="ListParagraph"/>
        <w:numPr>
          <w:ilvl w:val="0"/>
          <w:numId w:val="2"/>
        </w:numPr>
        <w:spacing w:after="80" w:line="276"/>
        <w:jc w:val="both"/>
      </w:pPr>
      <w:r>
        <w:rPr>
          <w:rFonts w:ascii="Times New Roman" w:cs="Times New Roman" w:eastAsia="Times New Roman" w:hAnsi="Times New Roman"/>
          <w:sz w:val="22"/>
          <w:szCs w:val="22"/>
        </w:rPr>
        <w:t xml:space="preserve">Jendela rincian memuat data lengkap, pratinjau berkas, alasan penolakan atau catatan revisi, serta riwayat komunikasi.</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Analitik: lima kartu statistik yang mengikuti penyaringan aktif, papan jumlah penerimaan per provinsi, dan alasan penolakan terbanyak.</w:t>
      </w:r>
    </w:p>
    <w:p>
      <w:pPr>
        <w:pStyle w:val="ListParagraph"/>
        <w:numPr>
          <w:ilvl w:val="0"/>
          <w:numId w:val="2"/>
        </w:numPr>
        <w:spacing w:after="80" w:line="276"/>
        <w:jc w:val="both"/>
      </w:pPr>
      <w:r>
        <w:rPr>
          <w:rFonts w:ascii="Times New Roman" w:cs="Times New Roman" w:eastAsia="Times New Roman" w:hAnsi="Times New Roman"/>
          <w:sz w:val="22"/>
          <w:szCs w:val="22"/>
        </w:rPr>
        <w:t xml:space="preserve">Ekspor hasil penyaringan ke berkas CSV.</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Pengelolaan akun admin dan eksekutor melalui antarmuka, khusus bagi super admin.</w:t>
      </w:r>
    </w:p>
    <w:p>
      <w:pPr>
        <w:pStyle w:val="Heading2"/>
        <w:spacing w:after="120" w:before="240"/>
      </w:pPr>
      <w:r>
        <w:rPr>
          <w:rFonts w:ascii="Times New Roman" w:cs="Times New Roman" w:eastAsia="Times New Roman" w:hAnsi="Times New Roman"/>
          <w:b/>
          <w:bCs/>
          <w:color w:val="1F3864"/>
          <w:sz w:val="24"/>
          <w:szCs w:val="24"/>
        </w:rPr>
        <w:t xml:space="preserve">4.3 Pengamanan Alur Kerja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Tombol tindakan dinonaktifkan pada tiket yang telah berstatus akhir, sehingga keputusan tidak dapat ditimpa tanpa sengaja.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Permintaan revisi hanya dapat dilakukan satu kali per tiket, dijaga baik pada antarmuka maupun pada peladen.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Seluruh perubahan status dicatat pada sheet Riwayat beserta pelaku dan waktunya.</w:t>
      </w:r>
    </w:p>
    <w:p>
      <w:pPr>
        <w:pStyle w:val="Heading1"/>
        <w:spacing w:after="160" w:before="320"/>
      </w:pPr>
      <w:r>
        <w:rPr>
          <w:rFonts w:ascii="Times New Roman" w:cs="Times New Roman" w:eastAsia="Times New Roman" w:hAnsi="Times New Roman"/>
          <w:b/>
          <w:bCs/>
          <w:color w:val="1F3864"/>
          <w:sz w:val="28"/>
          <w:szCs w:val="28"/>
        </w:rPr>
        <w:t xml:space="preserve">V. MIGRASI DATA HISTORIS</w:t>
      </w:r>
    </w:p>
    <w:p>
      <w:pPr>
        <w:spacing w:after="120" w:line="276"/>
        <w:jc w:val="both"/>
      </w:pPr>
      <w:r>
        <w:rPr>
          <w:rFonts w:ascii="Times New Roman" w:cs="Times New Roman" w:eastAsia="Times New Roman" w:hAnsi="Times New Roman"/>
          <w:sz w:val="22"/>
          <w:szCs w:val="22"/>
        </w:rPr>
        <w:t xml:space="preserve">Data dari sembilan formulir lama dipindahkan ke dalam struktur basis data yang baru. Karena susunan kolom antar formulir tidak seragam, pemetaan kolom dilakukan dengan pencocokan kata kunci pada judul kolom, bukan berdasarkan posisi. Nama provinsi dinormalkan dari berbagai variasi penulisan, dan seluruh entri diurutkan secara kronologis sebelum diberi nomor tiket per bulan.</w:t>
      </w:r>
    </w:p>
    <w:p>
      <w:pPr>
        <w:spacing w:after="120" w:line="276"/>
        <w:jc w:val="both"/>
      </w:pPr>
      <w:r>
        <w:rPr>
          <w:rFonts w:ascii="Times New Roman" w:cs="Times New Roman" w:eastAsia="Times New Roman" w:hAnsi="Times New Roman"/>
          <w:sz w:val="22"/>
          <w:szCs w:val="22"/>
        </w:rPr>
        <w:t xml:space="preserve">Proses ini memindahkan lebih dari 600 entri historis. Fungsi migrasi dijaga agar hanya dapat dijalankan satu kali melalui penanda pada properti skrip.</w:t>
      </w:r>
    </w:p>
    <w:p>
      <w:pPr>
        <w:pStyle w:val="Heading1"/>
        <w:spacing w:after="160" w:before="320"/>
      </w:pPr>
      <w:r>
        <w:rPr>
          <w:rFonts w:ascii="Times New Roman" w:cs="Times New Roman" w:eastAsia="Times New Roman" w:hAnsi="Times New Roman"/>
          <w:b/>
          <w:bCs/>
          <w:color w:val="1F3864"/>
          <w:sz w:val="28"/>
          <w:szCs w:val="28"/>
        </w:rPr>
        <w:t xml:space="preserve">VI. KENDALA TEKNIS DAN PENANGANANNYA</w:t>
      </w:r>
    </w:p>
    <w:p>
      <w:pPr>
        <w:spacing w:after="120" w:line="276"/>
        <w:jc w:val="both"/>
      </w:pPr>
      <w:r>
        <w:rPr>
          <w:rFonts w:ascii="Times New Roman" w:cs="Times New Roman" w:eastAsia="Times New Roman" w:hAnsi="Times New Roman"/>
          <w:sz w:val="22"/>
          <w:szCs w:val="22"/>
        </w:rPr>
        <w:t xml:space="preserve">Bagian ini mendokumentasikan kendala yang ditemukan selama penyusunan beserta penanganannya, sebagai rujukan bagi pemeliharaan berikutnya. Sebagian kendala bersifat khas lingkungan Google Apps Script dan tidak muncul pada pratinjau lokal.</w:t>
      </w:r>
    </w:p>
    <w:p>
      <w:pPr>
        <w:pStyle w:val="Heading2"/>
        <w:spacing w:after="120" w:before="240"/>
      </w:pPr>
      <w:r>
        <w:rPr>
          <w:rFonts w:ascii="Times New Roman" w:cs="Times New Roman" w:eastAsia="Times New Roman" w:hAnsi="Times New Roman"/>
          <w:b/>
          <w:bCs/>
          <w:color w:val="1F3864"/>
          <w:sz w:val="24"/>
          <w:szCs w:val="24"/>
        </w:rPr>
        <w:t xml:space="preserve">6.1 Perilaku Penyaji HTML Apps Script</w:t>
      </w:r>
    </w:p>
    <w:p>
      <w:pPr>
        <w:spacing w:after="120" w:line="276"/>
        <w:jc w:val="both"/>
      </w:pPr>
      <w:r>
        <w:rPr>
          <w:rFonts w:ascii="Times New Roman" w:cs="Times New Roman" w:eastAsia="Times New Roman" w:hAnsi="Times New Roman"/>
          <w:sz w:val="22"/>
          <w:szCs w:val="22"/>
        </w:rPr>
        <w:t xml:space="preserve">Apps Script memproses ulang skrip di dalam halaman sebelum menyajikannya. Perilaku ini beberapa kali merusak kode yang sepenuhnya sah, dan gejalanya berupa halaman kosong tanpa pesan galat yang jelas.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Rangkaian tanda kurung sudut tutup diikuti garis miring pada pola pencarian teks berubah bentuk sehingga polanya tidak pernah tertutup. Ditangani dengan menuliskan karakter tersebut dalam kelas karakter.</w:t>
      </w:r>
    </w:p>
    <w:p>
      <w:pPr>
        <w:pStyle w:val="ListParagraph"/>
        <w:numPr>
          <w:ilvl w:val="0"/>
          <w:numId w:val="3"/>
        </w:numPr>
        <w:spacing w:after="80" w:line="276"/>
        <w:jc w:val="both"/>
      </w:pPr>
      <w:r>
        <w:rPr>
          <w:rFonts w:ascii="Times New Roman" w:cs="Times New Roman" w:eastAsia="Times New Roman" w:hAnsi="Times New Roman"/>
          <w:sz w:val="22"/>
          <w:szCs w:val="22"/>
        </w:rPr>
        <w:t xml:space="preserve">Dua garis miring berurutan di dalam teks alamat internet terpotong hingga akhir baris. Ditangani dengan merangkai alamat melalui penggabungan teks.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Komentar blok memutilasi kode di antaranya. Ditangani dengan hanya menggunakan komentar satu baris.</w:t>
      </w:r>
    </w:p>
    <w:p>
      <w:pPr>
        <w:spacing w:after="120" w:line="276"/>
        <w:jc w:val="both"/>
      </w:pPr>
      <w:r>
        <w:rPr>
          <w:rFonts w:ascii="Times New Roman" w:cs="Times New Roman" w:eastAsia="Times New Roman" w:hAnsi="Times New Roman"/>
          <w:sz w:val="22"/>
          <w:szCs w:val="22"/>
        </w:rPr>
        <w:t xml:space="preserve">Sebagai tindak lanjut, ditetapkan prosedur pemeriksaan: mengambil keluaran yang benar-benar disajikan oleh peladen, membuka dua lapis penyandian, lalu memeriksa kesahihan sintaksisnya. Prosedur ini dijalankan pada setiap penerapan.</w:t>
      </w:r>
    </w:p>
    <w:p>
      <w:pPr>
        <w:pStyle w:val="Heading2"/>
        <w:spacing w:after="120" w:before="240"/>
      </w:pPr>
      <w:r>
        <w:rPr>
          <w:rFonts w:ascii="Times New Roman" w:cs="Times New Roman" w:eastAsia="Times New Roman" w:hAnsi="Times New Roman"/>
          <w:b/>
          <w:bCs/>
          <w:color w:val="1F3864"/>
          <w:sz w:val="24"/>
          <w:szCs w:val="24"/>
        </w:rPr>
        <w:t xml:space="preserve">6.2 Konsistensi Data</w:t>
      </w:r>
    </w:p>
    <w:p>
      <w:pPr>
        <w:pStyle w:val="ListParagraph"/>
        <w:numPr>
          <w:ilvl w:val="0"/>
          <w:numId w:val="3"/>
        </w:numPr>
        <w:spacing w:after="80" w:line="276"/>
        <w:jc w:val="both"/>
      </w:pPr>
      <w:r>
        <w:rPr>
          <w:rFonts w:ascii="Times New Roman" w:cs="Times New Roman" w:eastAsia="Times New Roman" w:hAnsi="Times New Roman"/>
          <w:sz w:val="22"/>
          <w:szCs w:val="22"/>
        </w:rPr>
        <w:t xml:space="preserve">Status kiriman hasil revisi tertulis "Direvisi", yang secara kebetulan masih mengandung kata "revisi" sehingga sistem terus menganggap tiket berada dalam status revisi. Diperbaiki menjadi "Direview" dan data lama disesuaikan.</w:t>
      </w:r>
    </w:p>
    <w:p>
      <w:pPr>
        <w:pStyle w:val="ListParagraph"/>
        <w:numPr>
          <w:ilvl w:val="0"/>
          <w:numId w:val="3"/>
        </w:numPr>
        <w:spacing w:after="80" w:line="276"/>
        <w:jc w:val="both"/>
      </w:pPr>
      <w:r>
        <w:rPr>
          <w:rFonts w:ascii="Times New Roman" w:cs="Times New Roman" w:eastAsia="Times New Roman" w:hAnsi="Times New Roman"/>
          <w:sz w:val="22"/>
          <w:szCs w:val="22"/>
        </w:rPr>
        <w:t xml:space="preserve">Nomor WhatsApp kehilangan angka nol di depan karena Spreadsheet mengubah teks angka menjadi bilangan. Ditangani dengan menormalkan nomor setiap kali dibaca, sehingga data lama ikut terkoreksi.</w:t>
      </w:r>
    </w:p>
    <w:p>
      <w:pPr>
        <w:pStyle w:val="ListParagraph"/>
        <w:numPr>
          <w:ilvl w:val="0"/>
          <w:numId w:val="3"/>
        </w:numPr>
        <w:spacing w:after="80" w:line="276"/>
        <w:jc w:val="both"/>
      </w:pPr>
      <w:r>
        <w:rPr>
          <w:rFonts w:ascii="Times New Roman" w:cs="Times New Roman" w:eastAsia="Times New Roman" w:hAnsi="Times New Roman"/>
          <w:sz w:val="22"/>
          <w:szCs w:val="22"/>
        </w:rPr>
        <w:t xml:space="preserve">Penyaringan tanggal membandingkan tanggal universal, sedangkan kolom tanggal menampilkan waktu setempat, sehingga kiriman dini hari meleset satu hari pada kedua arah. Diperbaiki dengan menyamakan acuan waktu.</w:t>
      </w:r>
    </w:p>
    <w:p>
      <w:pPr>
        <w:pStyle w:val="Heading2"/>
        <w:spacing w:after="120" w:before="240"/>
      </w:pPr>
      <w:r>
        <w:rPr>
          <w:rFonts w:ascii="Times New Roman" w:cs="Times New Roman" w:eastAsia="Times New Roman" w:hAnsi="Times New Roman"/>
          <w:b/>
          <w:bCs/>
          <w:color w:val="1F3864"/>
          <w:sz w:val="24"/>
          <w:szCs w:val="24"/>
        </w:rPr>
        <w:t xml:space="preserve">6.3 Antarmuka</w:t>
      </w:r>
    </w:p>
    <w:p>
      <w:pPr>
        <w:pStyle w:val="ListParagraph"/>
        <w:numPr>
          <w:ilvl w:val="0"/>
          <w:numId w:val="3"/>
        </w:numPr>
        <w:spacing w:after="80" w:line="276"/>
        <w:jc w:val="both"/>
      </w:pPr>
      <w:r>
        <w:rPr>
          <w:rFonts w:ascii="Times New Roman" w:cs="Times New Roman" w:eastAsia="Times New Roman" w:hAnsi="Times New Roman"/>
          <w:sz w:val="22"/>
          <w:szCs w:val="22"/>
        </w:rPr>
        <w:t xml:space="preserve">Jendela dialog bawaan peramban dirender pada lapisan teratas, sehingga indikator pemuatan dan pesan ringkas tertutup di belakangnya. Ditangani dengan memindahkan keduanya ke lapisan yang sama.</w:t>
      </w:r>
    </w:p>
    <w:p>
      <w:pPr>
        <w:pStyle w:val="ListParagraph"/>
        <w:numPr>
          <w:ilvl w:val="0"/>
          <w:numId w:val="3"/>
        </w:numPr>
        <w:spacing w:after="80" w:line="276"/>
        <w:jc w:val="both"/>
      </w:pPr>
      <w:r>
        <w:rPr>
          <w:rFonts w:ascii="Times New Roman" w:cs="Times New Roman" w:eastAsia="Times New Roman" w:hAnsi="Times New Roman"/>
          <w:sz w:val="22"/>
          <w:szCs w:val="22"/>
        </w:rPr>
        <w:t xml:space="preserve">Isian berkas dan isian "Lainnya" tidak memiliki atribut nama, sehingga terlewat saat membuka kunci isian pada formulir revisi dan tetap tidak dapat diklik.</w:t>
      </w:r>
    </w:p>
    <w:p>
      <w:pPr>
        <w:pStyle w:val="ListParagraph"/>
        <w:numPr>
          <w:ilvl w:val="0"/>
          <w:numId w:val="3"/>
        </w:numPr>
        <w:spacing w:after="80" w:line="276"/>
        <w:jc w:val="both"/>
      </w:pPr>
      <w:r>
        <w:rPr>
          <w:rFonts w:ascii="Times New Roman" w:cs="Times New Roman" w:eastAsia="Times New Roman" w:hAnsi="Times New Roman"/>
          <w:sz w:val="22"/>
          <w:szCs w:val="22"/>
        </w:rPr>
        <w:t xml:space="preserve">Elemen selebar layar penuh ikut menghitung lebar batang gulir sehingga memunculkan gulir mendatar. Ditangani dengan mengukur lebar batang gulir yang sebenarnya.</w:t>
      </w:r>
    </w:p>
    <w:p>
      <w:pPr>
        <w:pStyle w:val="Heading1"/>
        <w:spacing w:after="160" w:before="320"/>
      </w:pPr>
      <w:r>
        <w:rPr>
          <w:rFonts w:ascii="Times New Roman" w:cs="Times New Roman" w:eastAsia="Times New Roman" w:hAnsi="Times New Roman"/>
          <w:b/>
          <w:bCs/>
          <w:color w:val="1F3864"/>
          <w:sz w:val="28"/>
          <w:szCs w:val="28"/>
        </w:rPr>
        <w:t xml:space="preserve">VII. CATATAN PENGEMBANGAN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442"/>
        <w:gridCol w:w="4346"/>
      </w:tblGrid>
      <w:tr>
        <w:trPr>
          <w:tblHeader/>
        </w:trPr>
        <w:tc>
          <w:tcPr>
            <w:tcW w:type="dxa" w:w="4442"/>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Uraian</w:t>
            </w:r>
          </w:p>
        </w:tc>
        <w:tc>
          <w:tcPr>
            <w:tcW w:type="dxa" w:w="4346"/>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Keterangan</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Rentang waktu penyusunan</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21 s.d. 30 Juli 2026</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Jumlah perubahan tercatat</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61 penyetoran</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Jumlah baris kode</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3.408 baris</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Fungsi sisi peladen</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37 fungsi</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Versi penerapan terakhir</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Versi 69</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Kategori bahan</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9 kategori</w:t>
            </w:r>
          </w:p>
        </w:tc>
      </w:tr>
      <w:tr>
        <w:tc>
          <w:tcPr>
            <w:tcW w:type="dxa" w:w="4442"/>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Cakupan wilayah</w:t>
            </w:r>
          </w:p>
        </w:tc>
        <w:tc>
          <w:tcPr>
            <w:tcW w:type="dxa" w:w="4346"/>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38 provinsi</w:t>
            </w:r>
          </w:p>
        </w:tc>
      </w:tr>
    </w:tbl>
    <w:p>
      <w:pPr>
        <w:spacing w:after="200" w:before="80"/>
        <w:jc w:val="center"/>
      </w:pPr>
      <w:r>
        <w:rPr>
          <w:rFonts w:ascii="Times New Roman" w:cs="Times New Roman" w:eastAsia="Times New Roman" w:hAnsi="Times New Roman"/>
          <w:i/>
          <w:iCs/>
          <w:color w:val="595959"/>
          <w:sz w:val="18"/>
          <w:szCs w:val="18"/>
        </w:rPr>
        <w:t xml:space="preserve">Tabel 4. Ringkasan pelaksanaan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897"/>
        <w:gridCol w:w="1931"/>
        <w:gridCol w:w="3960"/>
      </w:tblGrid>
      <w:tr>
        <w:trPr>
          <w:tblHeader/>
        </w:trPr>
        <w:tc>
          <w:tcPr>
            <w:tcW w:type="dxa" w:w="2897"/>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Jenis Perubahan</w:t>
            </w:r>
          </w:p>
        </w:tc>
        <w:tc>
          <w:tcPr>
            <w:tcW w:type="dxa" w:w="1931"/>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Jumlah</w:t>
            </w:r>
          </w:p>
        </w:tc>
        <w:tc>
          <w:tcPr>
            <w:tcW w:type="dxa" w:w="3960"/>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Keterangan</w:t>
            </w:r>
          </w:p>
        </w:tc>
      </w:tr>
      <w:tr>
        <w:tc>
          <w:tcPr>
            <w:tcW w:type="dxa" w:w="2897"/>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Penambahan fitur</w:t>
            </w:r>
          </w:p>
        </w:tc>
        <w:tc>
          <w:tcPr>
            <w:tcW w:type="dxa" w:w="1931"/>
            <w:tcMar>
              <w:top w:type="dxa" w:w="80"/>
              <w:left w:type="dxa" w:w="120"/>
              <w:bottom w:type="dxa" w:w="80"/>
              <w:right w:type="dxa" w:w="120"/>
            </w:tcMar>
            <w:vAlign w:val="center"/>
          </w:tcPr>
          <w:p>
            <w:pPr>
              <w:spacing w:after="0" w:line="240"/>
              <w:jc w:val="center"/>
            </w:pPr>
            <w:r>
              <w:rPr>
                <w:rFonts w:ascii="Times New Roman" w:cs="Times New Roman" w:eastAsia="Times New Roman" w:hAnsi="Times New Roman"/>
                <w:sz w:val="20"/>
                <w:szCs w:val="20"/>
              </w:rPr>
              <w:t xml:space="preserve">31</w:t>
            </w:r>
          </w:p>
        </w:tc>
        <w:tc>
          <w:tcPr>
            <w:tcW w:type="dxa" w:w="396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Fitur baru dan penyempurnaan</w:t>
            </w:r>
          </w:p>
        </w:tc>
      </w:tr>
      <w:tr>
        <w:tc>
          <w:tcPr>
            <w:tcW w:type="dxa" w:w="2897"/>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Perbaikan kesalahan</w:t>
            </w:r>
          </w:p>
        </w:tc>
        <w:tc>
          <w:tcPr>
            <w:tcW w:type="dxa" w:w="1931"/>
            <w:tcMar>
              <w:top w:type="dxa" w:w="80"/>
              <w:left w:type="dxa" w:w="120"/>
              <w:bottom w:type="dxa" w:w="80"/>
              <w:right w:type="dxa" w:w="120"/>
            </w:tcMar>
            <w:vAlign w:val="center"/>
          </w:tcPr>
          <w:p>
            <w:pPr>
              <w:spacing w:after="0" w:line="240"/>
              <w:jc w:val="center"/>
            </w:pPr>
            <w:r>
              <w:rPr>
                <w:rFonts w:ascii="Times New Roman" w:cs="Times New Roman" w:eastAsia="Times New Roman" w:hAnsi="Times New Roman"/>
                <w:sz w:val="20"/>
                <w:szCs w:val="20"/>
              </w:rPr>
              <w:t xml:space="preserve">19</w:t>
            </w:r>
          </w:p>
        </w:tc>
        <w:tc>
          <w:tcPr>
            <w:tcW w:type="dxa" w:w="396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Termasuk kendala pada Bagian VI</w:t>
            </w:r>
          </w:p>
        </w:tc>
      </w:tr>
      <w:tr>
        <w:tc>
          <w:tcPr>
            <w:tcW w:type="dxa" w:w="2897"/>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Penyesuaian tampilan</w:t>
            </w:r>
          </w:p>
        </w:tc>
        <w:tc>
          <w:tcPr>
            <w:tcW w:type="dxa" w:w="1931"/>
            <w:tcMar>
              <w:top w:type="dxa" w:w="80"/>
              <w:left w:type="dxa" w:w="120"/>
              <w:bottom w:type="dxa" w:w="80"/>
              <w:right w:type="dxa" w:w="120"/>
            </w:tcMar>
            <w:vAlign w:val="center"/>
          </w:tcPr>
          <w:p>
            <w:pPr>
              <w:spacing w:after="0" w:line="240"/>
              <w:jc w:val="center"/>
            </w:pPr>
            <w:r>
              <w:rPr>
                <w:rFonts w:ascii="Times New Roman" w:cs="Times New Roman" w:eastAsia="Times New Roman" w:hAnsi="Times New Roman"/>
                <w:sz w:val="20"/>
                <w:szCs w:val="20"/>
              </w:rPr>
              <w:t xml:space="preserve">6</w:t>
            </w:r>
          </w:p>
        </w:tc>
        <w:tc>
          <w:tcPr>
            <w:tcW w:type="dxa" w:w="396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Tata letak dan keterbacaan</w:t>
            </w:r>
          </w:p>
        </w:tc>
      </w:tr>
      <w:tr>
        <w:tc>
          <w:tcPr>
            <w:tcW w:type="dxa" w:w="2897"/>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Dokumentasi</w:t>
            </w:r>
          </w:p>
        </w:tc>
        <w:tc>
          <w:tcPr>
            <w:tcW w:type="dxa" w:w="1931"/>
            <w:tcMar>
              <w:top w:type="dxa" w:w="80"/>
              <w:left w:type="dxa" w:w="120"/>
              <w:bottom w:type="dxa" w:w="80"/>
              <w:right w:type="dxa" w:w="120"/>
            </w:tcMar>
            <w:vAlign w:val="center"/>
          </w:tcPr>
          <w:p>
            <w:pPr>
              <w:spacing w:after="0" w:line="240"/>
              <w:jc w:val="center"/>
            </w:pPr>
            <w:r>
              <w:rPr>
                <w:rFonts w:ascii="Times New Roman" w:cs="Times New Roman" w:eastAsia="Times New Roman" w:hAnsi="Times New Roman"/>
                <w:sz w:val="20"/>
                <w:szCs w:val="20"/>
              </w:rPr>
              <w:t xml:space="preserve">3</w:t>
            </w:r>
          </w:p>
        </w:tc>
        <w:tc>
          <w:tcPr>
            <w:tcW w:type="dxa" w:w="396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Catatan kemajuan dan panduan</w:t>
            </w:r>
          </w:p>
        </w:tc>
      </w:tr>
      <w:tr>
        <w:tc>
          <w:tcPr>
            <w:tcW w:type="dxa" w:w="2897"/>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Lain-lain</w:t>
            </w:r>
          </w:p>
        </w:tc>
        <w:tc>
          <w:tcPr>
            <w:tcW w:type="dxa" w:w="1931"/>
            <w:tcMar>
              <w:top w:type="dxa" w:w="80"/>
              <w:left w:type="dxa" w:w="120"/>
              <w:bottom w:type="dxa" w:w="80"/>
              <w:right w:type="dxa" w:w="120"/>
            </w:tcMar>
            <w:vAlign w:val="center"/>
          </w:tcPr>
          <w:p>
            <w:pPr>
              <w:spacing w:after="0" w:line="240"/>
              <w:jc w:val="center"/>
            </w:pPr>
            <w:r>
              <w:rPr>
                <w:rFonts w:ascii="Times New Roman" w:cs="Times New Roman" w:eastAsia="Times New Roman" w:hAnsi="Times New Roman"/>
                <w:sz w:val="20"/>
                <w:szCs w:val="20"/>
              </w:rPr>
              <w:t xml:space="preserve">2</w:t>
            </w:r>
          </w:p>
        </w:tc>
        <w:tc>
          <w:tcPr>
            <w:tcW w:type="dxa" w:w="3960"/>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Penataan berkas</w:t>
            </w:r>
          </w:p>
        </w:tc>
      </w:tr>
    </w:tbl>
    <w:p>
      <w:pPr>
        <w:spacing w:after="200" w:before="80"/>
        <w:jc w:val="center"/>
      </w:pPr>
      <w:r>
        <w:rPr>
          <w:rFonts w:ascii="Times New Roman" w:cs="Times New Roman" w:eastAsia="Times New Roman" w:hAnsi="Times New Roman"/>
          <w:i/>
          <w:iCs/>
          <w:color w:val="595959"/>
          <w:sz w:val="18"/>
          <w:szCs w:val="18"/>
        </w:rPr>
        <w:t xml:space="preserve">Tabel 5. Sebaran jenis perubahan</w:t>
      </w:r>
    </w:p>
    <w:p>
      <w:pPr>
        <w:pStyle w:val="Heading1"/>
        <w:spacing w:after="160" w:before="320"/>
      </w:pPr>
      <w:r>
        <w:rPr>
          <w:rFonts w:ascii="Times New Roman" w:cs="Times New Roman" w:eastAsia="Times New Roman" w:hAnsi="Times New Roman"/>
          <w:b/>
          <w:bCs/>
          <w:color w:val="1F3864"/>
          <w:sz w:val="28"/>
          <w:szCs w:val="28"/>
        </w:rPr>
        <w:t xml:space="preserve">VIII. STATUS DAN RENCANA LANJUTAN</w:t>
      </w:r>
    </w:p>
    <w:p>
      <w:pPr>
        <w:pStyle w:val="Heading2"/>
        <w:spacing w:after="120" w:before="240"/>
      </w:pPr>
      <w:r>
        <w:rPr>
          <w:rFonts w:ascii="Times New Roman" w:cs="Times New Roman" w:eastAsia="Times New Roman" w:hAnsi="Times New Roman"/>
          <w:b/>
          <w:bCs/>
          <w:color w:val="1F3864"/>
          <w:sz w:val="24"/>
          <w:szCs w:val="24"/>
        </w:rPr>
        <w:t xml:space="preserve">8.1 Status Saat Ini</w:t>
      </w:r>
    </w:p>
    <w:p>
      <w:pPr>
        <w:spacing w:after="120" w:line="276"/>
        <w:jc w:val="both"/>
      </w:pPr>
      <w:r>
        <w:rPr>
          <w:rFonts w:ascii="Times New Roman" w:cs="Times New Roman" w:eastAsia="Times New Roman" w:hAnsi="Times New Roman"/>
          <w:sz w:val="22"/>
          <w:szCs w:val="22"/>
        </w:rPr>
        <w:t xml:space="preserve">Seluruh fungsi pokok telah berjalan pada lingkungan produksi dan digunakan untuk menerima kiriman dari satuan kerja daerah. Portal publik, dashboard admin, alur revisi, statistik, dan migrasi data historis telah selesai.</w:t>
      </w:r>
    </w:p>
    <w:p>
      <w:pPr>
        <w:pStyle w:val="Heading2"/>
        <w:spacing w:after="120" w:before="240"/>
      </w:pPr>
      <w:r>
        <w:rPr>
          <w:rFonts w:ascii="Times New Roman" w:cs="Times New Roman" w:eastAsia="Times New Roman" w:hAnsi="Times New Roman"/>
          <w:b/>
          <w:bCs/>
          <w:color w:val="1F3864"/>
          <w:sz w:val="24"/>
          <w:szCs w:val="24"/>
        </w:rPr>
        <w:t xml:space="preserve">8.2 Rencana Lanjutan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283"/>
        <w:gridCol w:w="5505"/>
      </w:tblGrid>
      <w:tr>
        <w:trPr>
          <w:tblHeader/>
        </w:trPr>
        <w:tc>
          <w:tcPr>
            <w:tcW w:type="dxa" w:w="3283"/>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Rencana</w:t>
            </w:r>
          </w:p>
        </w:tc>
        <w:tc>
          <w:tcPr>
            <w:tcW w:type="dxa" w:w="5505"/>
            <w:shd w:fill="E8EDF5" w:color="auto" w:val="clear"/>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b/>
                <w:bCs/>
                <w:sz w:val="20"/>
                <w:szCs w:val="20"/>
              </w:rPr>
              <w:t xml:space="preserve">Keterangan</w:t>
            </w:r>
          </w:p>
        </w:tc>
      </w:tr>
      <w:tr>
        <w:tc>
          <w:tcPr>
            <w:tcW w:type="dxa" w:w="3283"/>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Notifikasi otomatis</w:t>
            </w:r>
          </w:p>
        </w:tc>
        <w:tc>
          <w:tcPr>
            <w:tcW w:type="dxa" w:w="550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Pemberitahuan perubahan status melalui Telegram atau WhatsApp. Menunggu kredensial layanan.</w:t>
            </w:r>
          </w:p>
        </w:tc>
      </w:tr>
      <w:tr>
        <w:tc>
          <w:tcPr>
            <w:tcW w:type="dxa" w:w="3283"/>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Master wilayah pada sheet</w:t>
            </w:r>
          </w:p>
        </w:tc>
        <w:tc>
          <w:tcPr>
            <w:tcW w:type="dxa" w:w="550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Memindahkan daftar wilayah dan teks ketentuan ke sheet agar dapat disunting tanpa mengubah kode. Menunggu sumber data resmi 514 kabupaten/kota.</w:t>
            </w:r>
          </w:p>
        </w:tc>
      </w:tr>
      <w:tr>
        <w:tc>
          <w:tcPr>
            <w:tcW w:type="dxa" w:w="3283"/>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Unggahan berkas besar</w:t>
            </w:r>
          </w:p>
        </w:tc>
        <w:tc>
          <w:tcPr>
            <w:tcW w:type="dxa" w:w="5505"/>
            <w:tcMar>
              <w:top w:type="dxa" w:w="80"/>
              <w:left w:type="dxa" w:w="120"/>
              <w:bottom w:type="dxa" w:w="80"/>
              <w:right w:type="dxa" w:w="120"/>
            </w:tcMar>
            <w:vAlign w:val="center"/>
          </w:tcPr>
          <w:p>
            <w:pPr>
              <w:spacing w:after="0" w:line="240"/>
              <w:jc w:val="left"/>
            </w:pPr>
            <w:r>
              <w:rPr>
                <w:rFonts w:ascii="Times New Roman" w:cs="Times New Roman" w:eastAsia="Times New Roman" w:hAnsi="Times New Roman"/>
                <w:sz w:val="20"/>
                <w:szCs w:val="20"/>
              </w:rPr>
              <w:t xml:space="preserve">Peralihan ke mekanisme unggah bertahap untuk berkas berukuran besar. Ditunda sampai kebutuhan nyata muncul.</w:t>
            </w:r>
          </w:p>
        </w:tc>
      </w:tr>
    </w:tbl>
    <w:p>
      <w:pPr>
        <w:spacing w:after="200" w:before="80"/>
        <w:jc w:val="center"/>
      </w:pPr>
      <w:r>
        <w:rPr>
          <w:rFonts w:ascii="Times New Roman" w:cs="Times New Roman" w:eastAsia="Times New Roman" w:hAnsi="Times New Roman"/>
          <w:i/>
          <w:iCs/>
          <w:color w:val="595959"/>
          <w:sz w:val="18"/>
          <w:szCs w:val="18"/>
        </w:rPr>
        <w:t xml:space="preserve">Tabel 6. Rencana pengembangan lanjutan</w:t>
      </w:r>
    </w:p>
    <w:p>
      <w:pPr>
        <w:pStyle w:val="Heading2"/>
        <w:spacing w:after="120" w:before="240"/>
      </w:pPr>
      <w:r>
        <w:rPr>
          <w:rFonts w:ascii="Times New Roman" w:cs="Times New Roman" w:eastAsia="Times New Roman" w:hAnsi="Times New Roman"/>
          <w:b/>
          <w:bCs/>
          <w:color w:val="1F3864"/>
          <w:sz w:val="24"/>
          <w:szCs w:val="24"/>
        </w:rPr>
        <w:t xml:space="preserve">8.3 Catatan Pemeliharaan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Kode sumber merupakan rujukan utama; perubahan yang hanya diterapkan langsung pada editor Apps Script akan tertimpa oleh penerapan berikutnya.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Perubahan pada susunan kolom sheet harus dilakukan serentak pada seluruh fungsi yang membacanya, karena tidak terdapat mekanisme migrasi skema.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Penambahan atau perubahan kategori harus disamakan antara berkas portal publik, dashboard admin, dan validasi peladen.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Setiap penerapan sebaiknya diikuti pemeriksaan keluaran yang disajikan peladen sebagaimana diuraikan pada Bagian 6.1.</w:t>
      </w:r>
    </w:p>
    <w:p>
      <w:pPr>
        <w:pStyle w:val="Heading1"/>
        <w:spacing w:after="160" w:before="320"/>
      </w:pPr>
      <w:r>
        <w:rPr>
          <w:rFonts w:ascii="Times New Roman" w:cs="Times New Roman" w:eastAsia="Times New Roman" w:hAnsi="Times New Roman"/>
          <w:b/>
          <w:bCs/>
          <w:color w:val="1F3864"/>
          <w:sz w:val="28"/>
          <w:szCs w:val="28"/>
        </w:rPr>
        <w:t xml:space="preserve">IX. PENUTUP</w:t>
      </w:r>
    </w:p>
    <w:p>
      <w:pPr>
        <w:spacing w:after="120" w:line="276"/>
        <w:jc w:val="both"/>
      </w:pPr>
      <w:r>
        <w:rPr>
          <w:rFonts w:ascii="Times New Roman" w:cs="Times New Roman" w:eastAsia="Times New Roman" w:hAnsi="Times New Roman"/>
          <w:sz w:val="22"/>
          <w:szCs w:val="22"/>
        </w:rPr>
        <w:t xml:space="preserve">Portal Komunikasi Kehumasan telah menggantikan sembilan formulir terpisah dengan satu alur kerja yang terpadu, memberikan transparansi status kepada pengirim, dan menyediakan papan kerja terpusat bagi Tim Humas. Dokumentasi kendala teknis pada Bagian VI diharapkan mempersingkat waktu penanganan apabila persoalan serupa muncul kembali di kemudian hari.</w:t>
      </w:r>
    </w:p>
    <w:p>
      <w:pPr>
        <w:pBdr>
          <w:bottom w:val="single" w:color="B8860B" w:sz="6"/>
        </w:pBdr>
        <w:spacing w:after="200" w:before="60"/>
      </w:pPr>
      <w:r>
        <w:t xml:space="preserve"/>
      </w:r>
    </w:p>
    <w:p>
      <w:pPr>
        <w:spacing w:before="400"/>
        <w:jc w:val="right"/>
      </w:pPr>
      <w:r>
        <w:rPr>
          <w:rFonts w:ascii="Times New Roman" w:cs="Times New Roman" w:eastAsia="Times New Roman" w:hAnsi="Times New Roman"/>
          <w:sz w:val="22"/>
          <w:szCs w:val="22"/>
        </w:rPr>
        <w:t xml:space="preserve">Jakarta, Juli 2026</w:t>
      </w:r>
    </w:p>
    <w:p>
      <w:pPr>
        <w:spacing w:before="60"/>
        <w:jc w:val="right"/>
      </w:pPr>
      <w:r>
        <w:rPr>
          <w:rFonts w:ascii="Times New Roman" w:cs="Times New Roman" w:eastAsia="Times New Roman" w:hAnsi="Times New Roman"/>
          <w:sz w:val="22"/>
          <w:szCs w:val="22"/>
        </w:rPr>
        <w:t xml:space="preserve">Tim Humas dan Pranata Komputer</w:t>
      </w:r>
    </w:p>
    <w:p>
      <w:pPr>
        <w:spacing w:before="20"/>
        <w:jc w:val="right"/>
      </w:pPr>
      <w:r>
        <w:rPr>
          <w:rFonts w:ascii="Times New Roman" w:cs="Times New Roman" w:eastAsia="Times New Roman" w:hAnsi="Times New Roman"/>
          <w:sz w:val="22"/>
          <w:szCs w:val="22"/>
        </w:rPr>
        <w:t xml:space="preserve">Ditjen Bimbingan Masyarakat Hindu</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pBdr>
      <w:jc w:val="right"/>
    </w:pPr>
    <w:r>
      <w:rPr>
        <w:rFonts w:ascii="Times New Roman" w:cs="Times New Roman" w:eastAsia="Times New Roman" w:hAnsi="Times New Roman"/>
        <w:color w:val="595959"/>
        <w:sz w:val="16"/>
        <w:szCs w:val="16"/>
      </w:rPr>
      <w:t xml:space="preserve">Portal Komunikasi Kehumasan — Ditjen Bimas Hindu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Penyusunan Portal Komunikasi Kehumasan</dc:title>
  <dc:creator>Tim Humas dan Prakom Ditjen Bimas Hindu</dc:creator>
  <dc:description>Laporan penyusunan Portal Komunikasi Kehumasan Pusat dan Daerah</dc:description>
  <cp:lastModifiedBy>Un-named</cp:lastModifiedBy>
  <cp:revision>1</cp:revision>
  <dcterms:created xsi:type="dcterms:W3CDTF">2026-07-31T08:15:08.398Z</dcterms:created>
  <dcterms:modified xsi:type="dcterms:W3CDTF">2026-07-31T08:15:08.418Z</dcterms:modified>
</cp:coreProperties>
</file>

<file path=docProps/custom.xml><?xml version="1.0" encoding="utf-8"?>
<Properties xmlns="http://schemas.openxmlformats.org/officeDocument/2006/custom-properties" xmlns:vt="http://schemas.openxmlformats.org/officeDocument/2006/docPropsVTypes"/>
</file>