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pacing w:val="24"/>
          <w:sz w:val="19"/>
          <w:szCs w:val="19"/>
        </w:rPr>
        <w:t xml:space="preserve">ALDRIDGE FINANCIAL TECHNOLOGIES</w:t>
      </w:r>
    </w:p>
    <w:p>
      <w:pPr>
        <w:spacing w:after="60"/>
      </w:pPr>
      <w:r>
        <w:rPr>
          <w:b/>
          <w:bCs/>
          <w:color w:val="1F3864"/>
          <w:sz w:val="44"/>
          <w:szCs w:val="44"/>
        </w:rPr>
        <w:t xml:space="preserve">Acceptable Use Policy</w:t>
      </w:r>
    </w:p>
    <w:p>
      <w:pPr>
        <w:pBdr>
          <w:bottom w:val="single" w:color="1F3864" w:sz="12"/>
        </w:pBdr>
        <w:spacing w:after="240"/>
      </w:pPr>
      <w:r>
        <w:rPr>
          <w:i/>
          <w:iCs/>
          <w:color w:val="44546A"/>
          <w:sz w:val="22"/>
          <w:szCs w:val="22"/>
        </w:rPr>
        <w:t xml:space="preserve">Information Security Management System — Tier 2 Policy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80"/>
        <w:gridCol w:w="2200"/>
        <w:gridCol w:w="2480"/>
      </w:tblGrid>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reference</w:t>
            </w:r>
          </w:p>
        </w:tc>
        <w:tc>
          <w:tcPr>
            <w:tcW w:type="dxa" w:w="2480"/>
            <w:tcMar>
              <w:top w:type="dxa" w:w="90"/>
              <w:left w:type="dxa" w:w="130"/>
              <w:bottom w:type="dxa" w:w="90"/>
              <w:right w:type="dxa" w:w="130"/>
            </w:tcMar>
          </w:tcPr>
          <w:p>
            <w:pPr>
              <w:spacing w:after="0" w:line="260"/>
            </w:pPr>
            <w:r>
              <w:rPr>
                <w:b w:val="false"/>
                <w:bCs w:val="false"/>
                <w:sz w:val="20"/>
                <w:szCs w:val="20"/>
              </w:rPr>
              <w:t xml:space="preserve">AFT-ISMS-POL-01</w:t>
            </w:r>
          </w:p>
        </w:tc>
        <w:tc>
          <w:tcPr>
            <w:tcW w:type="dxa" w:w="2200"/>
            <w:tcMar>
              <w:top w:type="dxa" w:w="90"/>
              <w:left w:type="dxa" w:w="130"/>
              <w:bottom w:type="dxa" w:w="90"/>
              <w:right w:type="dxa" w:w="130"/>
            </w:tcMar>
          </w:tcPr>
          <w:p>
            <w:pPr>
              <w:spacing w:after="0" w:line="260"/>
            </w:pPr>
            <w:r>
              <w:rPr>
                <w:b w:val="false"/>
                <w:bCs w:val="false"/>
                <w:sz w:val="20"/>
                <w:szCs w:val="20"/>
              </w:rPr>
              <w:t xml:space="preserve">Version</w:t>
            </w:r>
          </w:p>
        </w:tc>
        <w:tc>
          <w:tcPr>
            <w:tcW w:type="dxa" w:w="2480"/>
            <w:tcMar>
              <w:top w:type="dxa" w:w="90"/>
              <w:left w:type="dxa" w:w="130"/>
              <w:bottom w:type="dxa" w:w="90"/>
              <w:right w:type="dxa" w:w="130"/>
            </w:tcMar>
          </w:tcPr>
          <w:p>
            <w:pPr>
              <w:spacing w:after="0" w:line="260"/>
            </w:pPr>
            <w:r>
              <w:rPr>
                <w:b w:val="false"/>
                <w:bCs w:val="false"/>
                <w:sz w:val="20"/>
                <w:szCs w:val="20"/>
              </w:rPr>
              <w:t xml:space="preserve">3.0</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owner</w:t>
            </w:r>
          </w:p>
        </w:tc>
        <w:tc>
          <w:tcPr>
            <w:tcW w:type="dxa" w:w="248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22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2480"/>
            <w:tcMar>
              <w:top w:type="dxa" w:w="90"/>
              <w:left w:type="dxa" w:w="130"/>
              <w:bottom w:type="dxa" w:w="90"/>
              <w:right w:type="dxa" w:w="130"/>
            </w:tcMar>
          </w:tcPr>
          <w:p>
            <w:pPr>
              <w:spacing w:after="0" w:line="260"/>
            </w:pPr>
            <w:r>
              <w:rPr>
                <w:b w:val="false"/>
                <w:bCs w:val="false"/>
                <w:sz w:val="20"/>
                <w:szCs w:val="20"/>
              </w:rPr>
              <w:t xml:space="preserve">Executive Risk Committee</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Effective date</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200"/>
            <w:tcMar>
              <w:top w:type="dxa" w:w="90"/>
              <w:left w:type="dxa" w:w="130"/>
              <w:bottom w:type="dxa" w:w="90"/>
              <w:right w:type="dxa" w:w="130"/>
            </w:tcMar>
          </w:tcPr>
          <w:p>
            <w:pPr>
              <w:spacing w:after="0" w:line="260"/>
            </w:pPr>
            <w:r>
              <w:rPr>
                <w:b w:val="false"/>
                <w:bCs w:val="false"/>
                <w:sz w:val="20"/>
                <w:szCs w:val="20"/>
              </w:rPr>
              <w:t xml:space="preserve">Next review</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2027</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Classification</w:t>
            </w:r>
          </w:p>
        </w:tc>
        <w:tc>
          <w:tcPr>
            <w:tcW w:type="dxa" w:w="2480"/>
            <w:tcMar>
              <w:top w:type="dxa" w:w="90"/>
              <w:left w:type="dxa" w:w="130"/>
              <w:bottom w:type="dxa" w:w="90"/>
              <w:right w:type="dxa" w:w="130"/>
            </w:tcMar>
          </w:tcPr>
          <w:p>
            <w:pPr>
              <w:spacing w:after="0" w:line="260"/>
            </w:pPr>
            <w:r>
              <w:rPr>
                <w:b w:val="false"/>
                <w:bCs w:val="false"/>
                <w:sz w:val="20"/>
                <w:szCs w:val="20"/>
              </w:rPr>
              <w:t xml:space="preserve">Internal</w:t>
            </w:r>
          </w:p>
        </w:tc>
        <w:tc>
          <w:tcPr>
            <w:tcW w:type="dxa" w:w="2200"/>
            <w:tcMar>
              <w:top w:type="dxa" w:w="90"/>
              <w:left w:type="dxa" w:w="130"/>
              <w:bottom w:type="dxa" w:w="90"/>
              <w:right w:type="dxa" w:w="130"/>
            </w:tcMar>
          </w:tcPr>
          <w:p>
            <w:pPr>
              <w:spacing w:after="0" w:line="260"/>
            </w:pPr>
            <w:r>
              <w:rPr>
                <w:b w:val="false"/>
                <w:bCs w:val="false"/>
                <w:sz w:val="20"/>
                <w:szCs w:val="20"/>
              </w:rPr>
              <w:t xml:space="preserve">Applies to</w:t>
            </w:r>
          </w:p>
        </w:tc>
        <w:tc>
          <w:tcPr>
            <w:tcW w:type="dxa" w:w="2480"/>
            <w:tcMar>
              <w:top w:type="dxa" w:w="90"/>
              <w:left w:type="dxa" w:w="130"/>
              <w:bottom w:type="dxa" w:w="90"/>
              <w:right w:type="dxa" w:w="130"/>
            </w:tcMar>
          </w:tcPr>
          <w:p>
            <w:pPr>
              <w:spacing w:after="0" w:line="260"/>
            </w:pPr>
            <w:r>
              <w:rPr>
                <w:b w:val="false"/>
                <w:bCs w:val="false"/>
                <w:sz w:val="20"/>
                <w:szCs w:val="20"/>
              </w:rPr>
              <w:t xml:space="preserve">All workers, globally</w:t>
            </w:r>
          </w:p>
        </w:tc>
      </w:tr>
    </w:tbl>
    <w:p>
      <w:pPr>
        <w:spacing w:after="240"/>
      </w:pPr>
    </w:p>
    <w:p>
      <w:pPr>
        <w:pStyle w:val="Heading2"/>
        <w:spacing w:after="12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pPr>
    </w:p>
    <w:p>
      <w:pPr>
        <w:pStyle w:val="Heading1"/>
        <w:spacing w:after="160" w:before="320"/>
      </w:pPr>
      <w:r>
        <w:t xml:space="preserve">1. Purpose</w:t>
      </w:r>
    </w:p>
    <w:p>
      <w:pPr>
        <w:spacing w:after="140" w:line="276"/>
      </w:pPr>
      <w:r>
        <w:rPr>
          <w:sz w:val="22"/>
          <w:szCs w:val="22"/>
        </w:rPr>
        <w:t xml:space="preserve">This policy defines the standards of behaviour expected of every person who uses Aldridge Financial Technologies information systems, networks, applications, devices and data. It exists to protect the confidentiality, integrity and availability of company and customer information, to preserve the trust of the customers whose payments and lending data we process, and to keep the company within the obligations imposed on it by contract, regulation and law.</w:t>
      </w:r>
    </w:p>
    <w:p>
      <w:pPr>
        <w:spacing w:after="140" w:line="276"/>
      </w:pPr>
      <w:r>
        <w:rPr>
          <w:sz w:val="22"/>
          <w:szCs w:val="22"/>
        </w:rPr>
        <w:t xml:space="preserve">Acceptable use is the foundation on which the rest of the information security management system rests. Technical controls constrain what a user is able to do; this policy sets out what a user is permitted to do.</w:t>
      </w:r>
    </w:p>
    <w:p>
      <w:pPr>
        <w:pStyle w:val="Heading1"/>
        <w:spacing w:after="160" w:before="320"/>
      </w:pPr>
      <w:r>
        <w:t xml:space="preserve">2. Scope</w:t>
      </w:r>
    </w:p>
    <w:p>
      <w:pPr>
        <w:spacing w:after="140" w:line="276"/>
      </w:pPr>
      <w:r>
        <w:rPr>
          <w:sz w:val="22"/>
          <w:szCs w:val="22"/>
        </w:rPr>
        <w:t xml:space="preserve">This policy applies to all workers of Aldridge Financial Technologies, Inc. and Aldridge Financial Technologies (UK) Ltd. In this policy, "worker" means any employee, director, officer, contractor, consultant, temporary worker, intern or third-party personnel who has been granted access to company information or information systems.</w:t>
      </w:r>
    </w:p>
    <w:p>
      <w:pPr>
        <w:spacing w:after="140" w:line="276"/>
      </w:pPr>
      <w:r>
        <w:rPr>
          <w:sz w:val="22"/>
          <w:szCs w:val="22"/>
        </w:rPr>
        <w:t xml:space="preserve">The policy covers:</w:t>
      </w:r>
    </w:p>
    <w:p>
      <w:pPr>
        <w:pStyle w:val="ListParagraph"/>
        <w:numPr>
          <w:ilvl w:val="0"/>
          <w:numId w:val="2"/>
        </w:numPr>
        <w:spacing w:after="80" w:line="276"/>
      </w:pPr>
      <w:r>
        <w:rPr>
          <w:sz w:val="22"/>
          <w:szCs w:val="22"/>
        </w:rPr>
        <w:t xml:space="preserve">All company-owned endpoints, servers, mobile devices and removable media.</w:t>
      </w:r>
    </w:p>
    <w:p>
      <w:pPr>
        <w:pStyle w:val="ListParagraph"/>
        <w:numPr>
          <w:ilvl w:val="0"/>
          <w:numId w:val="2"/>
        </w:numPr>
        <w:spacing w:after="80" w:line="276"/>
      </w:pPr>
      <w:r>
        <w:rPr>
          <w:sz w:val="22"/>
          <w:szCs w:val="22"/>
        </w:rPr>
        <w:t xml:space="preserve">All personally owned devices used to access company information under the Bring Your Own Device standard.</w:t>
      </w:r>
    </w:p>
    <w:p>
      <w:pPr>
        <w:pStyle w:val="ListParagraph"/>
        <w:numPr>
          <w:ilvl w:val="0"/>
          <w:numId w:val="2"/>
        </w:numPr>
        <w:spacing w:after="80" w:line="276"/>
      </w:pPr>
      <w:r>
        <w:rPr>
          <w:sz w:val="22"/>
          <w:szCs w:val="22"/>
        </w:rPr>
        <w:t xml:space="preserve">All company accounts, including corporate email, collaboration platforms, source code repositories, cloud consoles and administrative interfaces.</w:t>
      </w:r>
    </w:p>
    <w:p>
      <w:pPr>
        <w:pStyle w:val="ListParagraph"/>
        <w:numPr>
          <w:ilvl w:val="0"/>
          <w:numId w:val="2"/>
        </w:numPr>
        <w:spacing w:after="80" w:line="276"/>
      </w:pPr>
      <w:r>
        <w:rPr>
          <w:sz w:val="22"/>
          <w:szCs w:val="22"/>
        </w:rPr>
        <w:t xml:space="preserve">All company data, in any format and at any location, including data held in the company’s AWS environments and in approved software-as-a-service platforms.</w:t>
      </w:r>
    </w:p>
    <w:p>
      <w:pPr>
        <w:pStyle w:val="ListParagraph"/>
        <w:numPr>
          <w:ilvl w:val="0"/>
          <w:numId w:val="2"/>
        </w:numPr>
        <w:spacing w:after="80" w:line="276"/>
      </w:pPr>
      <w:r>
        <w:rPr>
          <w:sz w:val="22"/>
          <w:szCs w:val="22"/>
        </w:rPr>
        <w:t xml:space="preserve">All network connectivity provided by or on behalf of the company, including office networks, remote access and virtual private network services.</w:t>
      </w:r>
    </w:p>
    <w:p>
      <w:pPr>
        <w:spacing w:after="140" w:line="276"/>
      </w:pPr>
      <w:r>
        <w:rPr>
          <w:sz w:val="22"/>
          <w:szCs w:val="22"/>
        </w:rPr>
        <w:t xml:space="preserve">This policy applies whether the worker is on company premises, working remotely, or travelling, and whether the activity occurs during or outside normal working hours.</w:t>
      </w:r>
    </w:p>
    <w:p>
      <w:pPr>
        <w:pStyle w:val="Heading1"/>
        <w:spacing w:after="160" w:before="320"/>
      </w:pPr>
      <w:r>
        <w:t xml:space="preserve">3. Obligations this policy gives effect to</w:t>
      </w:r>
    </w:p>
    <w:p>
      <w:pPr>
        <w:spacing w:after="140" w:line="276"/>
      </w:pPr>
      <w:r>
        <w:rPr>
          <w:sz w:val="22"/>
          <w:szCs w:val="22"/>
        </w:rPr>
        <w:t xml:space="preserve">This policy is not solely an information security document. Aldridge is a money services business licensed in forty-four states, operates under a sponsor bank arrangement, and has an FCA-authorised subsidiary. Several obligations bearing directly on how workers use company systems arise from that regulated status rather than from the information security management system, and they are set out here so that they are not treated as optional.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Obligation</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Effect on use of company systems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Bank Secrecy Act record-keeping</w:t>
            </w:r>
          </w:p>
        </w:tc>
        <w:tc>
          <w:tcPr>
            <w:tcW w:type="dxa" w:w="6760"/>
            <w:tcMar>
              <w:top w:type="dxa" w:w="90"/>
              <w:left w:type="dxa" w:w="130"/>
              <w:bottom w:type="dxa" w:w="90"/>
              <w:right w:type="dxa" w:w="130"/>
            </w:tcMar>
          </w:tcPr>
          <w:p>
            <w:pPr>
              <w:spacing w:after="0" w:line="260"/>
            </w:pPr>
            <w:r>
              <w:rPr>
                <w:b w:val="false"/>
                <w:bCs w:val="false"/>
                <w:sz w:val="20"/>
                <w:szCs w:val="20"/>
              </w:rPr>
              <w:t xml:space="preserve">Business records, including communications evidencing transactions and decisions, must be retained for the periods set in AFT-IG-SCH-01. Conducting business through a channel the company cannot retain defeats the obligation.</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State money transmitter record-keeping</w:t>
            </w:r>
          </w:p>
        </w:tc>
        <w:tc>
          <w:tcPr>
            <w:tcW w:type="dxa" w:w="6760"/>
            <w:tcMar>
              <w:top w:type="dxa" w:w="90"/>
              <w:left w:type="dxa" w:w="130"/>
              <w:bottom w:type="dxa" w:w="90"/>
              <w:right w:type="dxa" w:w="130"/>
            </w:tcMar>
          </w:tcPr>
          <w:p>
            <w:pPr>
              <w:spacing w:after="0" w:line="260"/>
            </w:pPr>
            <w:r>
              <w:rPr>
                <w:b w:val="false"/>
                <w:bCs w:val="false"/>
                <w:sz w:val="20"/>
                <w:szCs w:val="20"/>
              </w:rPr>
              <w:t xml:space="preserve">Examination-relevant records must be producible on demand across all licensed jurisdictions.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FCA record-keeping (UK entity)</w:t>
            </w:r>
          </w:p>
        </w:tc>
        <w:tc>
          <w:tcPr>
            <w:tcW w:type="dxa" w:w="6760"/>
            <w:tcMar>
              <w:top w:type="dxa" w:w="90"/>
              <w:left w:type="dxa" w:w="130"/>
              <w:bottom w:type="dxa" w:w="90"/>
              <w:right w:type="dxa" w:w="130"/>
            </w:tcMar>
          </w:tcPr>
          <w:p>
            <w:pPr>
              <w:spacing w:after="0" w:line="260"/>
            </w:pPr>
            <w:r>
              <w:rPr>
                <w:b w:val="false"/>
                <w:bCs w:val="false"/>
                <w:sz w:val="20"/>
                <w:szCs w:val="20"/>
              </w:rPr>
              <w:t xml:space="preserve">Communications relating to regulated activity must be recorded and retained. The obligation attaches to the communication, not to the device it was made on.</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OFAC sanctions</w:t>
            </w:r>
          </w:p>
        </w:tc>
        <w:tc>
          <w:tcPr>
            <w:tcW w:type="dxa" w:w="6760"/>
            <w:tcMar>
              <w:top w:type="dxa" w:w="90"/>
              <w:left w:type="dxa" w:w="130"/>
              <w:bottom w:type="dxa" w:w="90"/>
              <w:right w:type="dxa" w:w="130"/>
            </w:tcMar>
          </w:tcPr>
          <w:p>
            <w:pPr>
              <w:spacing w:after="0" w:line="260"/>
            </w:pPr>
            <w:r>
              <w:rPr>
                <w:b w:val="false"/>
                <w:bCs w:val="false"/>
                <w:sz w:val="20"/>
                <w:szCs w:val="20"/>
              </w:rPr>
              <w:t xml:space="preserve">Workers must not use company systems to facilitate any dealing with a sanctioned party, and must escalate any suspicion immediately. Liability is strict and does not depend on knowledge.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Suspicious activity reporting</w:t>
            </w:r>
          </w:p>
        </w:tc>
        <w:tc>
          <w:tcPr>
            <w:tcW w:type="dxa" w:w="6760"/>
            <w:tcMar>
              <w:top w:type="dxa" w:w="90"/>
              <w:left w:type="dxa" w:w="130"/>
              <w:bottom w:type="dxa" w:w="90"/>
              <w:right w:type="dxa" w:w="130"/>
            </w:tcMar>
          </w:tcPr>
          <w:p>
            <w:pPr>
              <w:spacing w:after="0" w:line="260"/>
            </w:pPr>
            <w:r>
              <w:rPr>
                <w:b w:val="false"/>
                <w:bCs w:val="false"/>
                <w:sz w:val="20"/>
                <w:szCs w:val="20"/>
              </w:rPr>
              <w:t xml:space="preserve">A worker who forms a suspicion in the course of using company systems must report it through the financial crime route, and must not disclose that a report has been or may be made.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UK GDPR and US state privacy law</w:t>
            </w:r>
          </w:p>
        </w:tc>
        <w:tc>
          <w:tcPr>
            <w:tcW w:type="dxa" w:w="6760"/>
            <w:tcMar>
              <w:top w:type="dxa" w:w="90"/>
              <w:left w:type="dxa" w:w="130"/>
              <w:bottom w:type="dxa" w:w="90"/>
              <w:right w:type="dxa" w:w="130"/>
            </w:tcMar>
          </w:tcPr>
          <w:p>
            <w:pPr>
              <w:spacing w:after="0" w:line="260"/>
            </w:pPr>
            <w:r>
              <w:rPr>
                <w:b w:val="false"/>
                <w:bCs w:val="false"/>
                <w:sz w:val="20"/>
                <w:szCs w:val="20"/>
              </w:rPr>
              <w:t xml:space="preserve">Personal data handled through company systems is subject to the Data Protection Policy and to AFT-ISMS-POL-04.</w:t>
            </w:r>
          </w:p>
        </w:tc>
      </w:tr>
    </w:tbl>
    <w:p>
      <w:pPr>
        <w:pStyle w:val="Heading1"/>
        <w:spacing w:after="160" w:before="320"/>
      </w:pPr>
      <w:r>
        <w:t xml:space="preserve">4. Business communications and record-keeping</w:t>
      </w:r>
    </w:p>
    <w:p>
      <w:pPr>
        <w:spacing w:after="140" w:line="276"/>
      </w:pPr>
      <w:r>
        <w:rPr>
          <w:sz w:val="22"/>
          <w:szCs w:val="22"/>
        </w:rPr>
        <w:t xml:space="preserve">This section is new at version 3.0 and addresses an obligation the previous versions of this policy did not cover.</w:t>
      </w:r>
    </w:p>
    <w:p>
      <w:pPr>
        <w:pStyle w:val="ListParagraph"/>
        <w:numPr>
          <w:ilvl w:val="0"/>
          <w:numId w:val="2"/>
        </w:numPr>
        <w:spacing w:after="80" w:line="276"/>
      </w:pPr>
      <w:r>
        <w:rPr>
          <w:sz w:val="22"/>
          <w:szCs w:val="22"/>
        </w:rPr>
        <w:t xml:space="preserve">Business communications must take place through approved company channels only. The approved channels are listed in AFT-ISMS-STD-11.</w:t>
      </w:r>
    </w:p>
    <w:p>
      <w:pPr>
        <w:pStyle w:val="ListParagraph"/>
        <w:numPr>
          <w:ilvl w:val="0"/>
          <w:numId w:val="2"/>
        </w:numPr>
        <w:spacing w:after="80" w:line="276"/>
      </w:pPr>
      <w:r>
        <w:rPr>
          <w:sz w:val="22"/>
          <w:szCs w:val="22"/>
        </w:rPr>
        <w:t xml:space="preserve">Workers must not conduct company business through personal messaging applications, personal email, personal social media accounts, or ephemeral or disappearing-message features, whether on a company or a personal device.</w:t>
      </w:r>
    </w:p>
    <w:p>
      <w:pPr>
        <w:pStyle w:val="ListParagraph"/>
        <w:numPr>
          <w:ilvl w:val="0"/>
          <w:numId w:val="2"/>
        </w:numPr>
        <w:spacing w:after="80" w:line="276"/>
      </w:pPr>
      <w:r>
        <w:rPr>
          <w:sz w:val="22"/>
          <w:szCs w:val="22"/>
        </w:rPr>
        <w:t xml:space="preserve">This applies to all workers. It applies with particular force to anyone whose work touches payments, lending decisions, merchant or borrower onboarding, financial reporting, or dealings with a regulator, sponsor bank or auditor.</w:t>
      </w:r>
    </w:p>
    <w:p>
      <w:pPr>
        <w:pStyle w:val="ListParagraph"/>
        <w:numPr>
          <w:ilvl w:val="0"/>
          <w:numId w:val="2"/>
        </w:numPr>
        <w:spacing w:after="80" w:line="276"/>
      </w:pPr>
      <w:r>
        <w:rPr>
          <w:sz w:val="22"/>
          <w:szCs w:val="22"/>
        </w:rPr>
        <w:t xml:space="preserve">If a counterparty initiates business discussion on an unapproved channel, the worker must move the discussion to an approved channel and record that they have done so. A single message received is not a breach; continuing the exchange is.</w:t>
      </w:r>
    </w:p>
    <w:p>
      <w:pPr>
        <w:pStyle w:val="ListParagraph"/>
        <w:numPr>
          <w:ilvl w:val="0"/>
          <w:numId w:val="2"/>
        </w:numPr>
        <w:spacing w:after="80" w:line="276"/>
      </w:pPr>
      <w:r>
        <w:rPr>
          <w:sz w:val="22"/>
          <w:szCs w:val="22"/>
        </w:rPr>
        <w:t xml:space="preserve">Auto-delete and disappearing-message settings must not be enabled on any approved channel used for business communication.</w:t>
      </w:r>
    </w:p>
    <w:p>
      <w:pPr>
        <w:pStyle w:val="ListParagraph"/>
        <w:numPr>
          <w:ilvl w:val="0"/>
          <w:numId w:val="2"/>
        </w:numPr>
        <w:spacing w:after="80" w:line="276"/>
      </w:pPr>
      <w:r>
        <w:rPr>
          <w:sz w:val="22"/>
          <w:szCs w:val="22"/>
        </w:rPr>
        <w:t xml:space="preserve">Workers must not delete, alter or conceal a business record, and must comply immediately with any legal hold notified by the General Counsel.</w:t>
      </w:r>
    </w:p>
    <w:p>
      <w:pPr>
        <w:spacing w:after="140" w:line="276"/>
      </w:pPr>
      <w:r>
        <w:rPr>
          <w:sz w:val="22"/>
          <w:szCs w:val="22"/>
        </w:rPr>
        <w:t xml:space="preserve">The reason for the strictness is worth stating plainly. Regulators in both jurisdictions have taken substantial enforcement action against financial institutions for off-channel business communications, and the finding in those cases has typically been the record-keeping failure itself rather than anything improper in the underlying conduct. A worker using a personal messaging application to close a merchant deal quickly may do nothing wrong commercially and still create a regulatory exposure the company cannot remediate after the fact.</w:t>
      </w:r>
    </w:p>
    <w:p>
      <w:pPr>
        <w:pStyle w:val="Heading1"/>
        <w:spacing w:after="160" w:before="320"/>
      </w:pPr>
      <w:r>
        <w:t xml:space="preserve">5. Policy statements</w:t>
      </w:r>
    </w:p>
    <w:p>
      <w:pPr>
        <w:pStyle w:val="Heading2"/>
        <w:spacing w:after="120" w:before="240"/>
      </w:pPr>
      <w:r>
        <w:t xml:space="preserve">5.1 General principles of use</w:t>
      </w:r>
    </w:p>
    <w:p>
      <w:pPr>
        <w:spacing w:after="140" w:line="276"/>
      </w:pPr>
      <w:r>
        <w:rPr>
          <w:sz w:val="22"/>
          <w:szCs w:val="22"/>
        </w:rPr>
        <w:t xml:space="preserve">Company information systems are provided for legitimate business purposes. Workers must use them lawfully, professionally, and in a manner consistent with the company’s values and its obligations to customers and regulators.</w:t>
      </w:r>
    </w:p>
    <w:p>
      <w:pPr>
        <w:pStyle w:val="ListParagraph"/>
        <w:numPr>
          <w:ilvl w:val="0"/>
          <w:numId w:val="2"/>
        </w:numPr>
        <w:spacing w:after="80" w:line="276"/>
      </w:pPr>
      <w:r>
        <w:rPr>
          <w:sz w:val="22"/>
          <w:szCs w:val="22"/>
        </w:rPr>
        <w:t xml:space="preserve">Workers must not use company systems for any activity that is unlawful, fraudulent, defamatory, harassing, discriminatory, or that would bring the company into disrepute.</w:t>
      </w:r>
    </w:p>
    <w:p>
      <w:pPr>
        <w:pStyle w:val="ListParagraph"/>
        <w:numPr>
          <w:ilvl w:val="0"/>
          <w:numId w:val="2"/>
        </w:numPr>
        <w:spacing w:after="80" w:line="276"/>
      </w:pPr>
      <w:r>
        <w:rPr>
          <w:sz w:val="22"/>
          <w:szCs w:val="22"/>
        </w:rPr>
        <w:t xml:space="preserve">Workers must not use company systems to run a personal business, to conduct political campaigning, or to solicit for causes unconnected with the company.</w:t>
      </w:r>
    </w:p>
    <w:p>
      <w:pPr>
        <w:pStyle w:val="ListParagraph"/>
        <w:numPr>
          <w:ilvl w:val="0"/>
          <w:numId w:val="2"/>
        </w:numPr>
        <w:spacing w:after="80" w:line="276"/>
      </w:pPr>
      <w:r>
        <w:rPr>
          <w:sz w:val="22"/>
          <w:szCs w:val="22"/>
        </w:rPr>
        <w:t xml:space="preserve">Workers must comply with all licence terms attaching to software and content made available to them, and must not install unlicensed software.</w:t>
      </w:r>
    </w:p>
    <w:p>
      <w:pPr>
        <w:pStyle w:val="ListParagraph"/>
        <w:numPr>
          <w:ilvl w:val="0"/>
          <w:numId w:val="2"/>
        </w:numPr>
        <w:spacing w:after="80" w:line="276"/>
      </w:pPr>
      <w:r>
        <w:rPr>
          <w:sz w:val="22"/>
          <w:szCs w:val="22"/>
        </w:rPr>
        <w:t xml:space="preserve">Workers must not attempt to circumvent, disable or degrade any security control, including endpoint protection, logging, data loss prevention, web filtering or multi-factor authentication.</w:t>
      </w:r>
    </w:p>
    <w:p>
      <w:pPr>
        <w:pStyle w:val="ListParagraph"/>
        <w:numPr>
          <w:ilvl w:val="0"/>
          <w:numId w:val="2"/>
        </w:numPr>
        <w:spacing w:after="80" w:line="276"/>
      </w:pPr>
      <w:r>
        <w:rPr>
          <w:sz w:val="22"/>
          <w:szCs w:val="22"/>
        </w:rPr>
        <w:t xml:space="preserve">Workers must not conduct security testing, vulnerability scanning or penetration testing against any company or third-party system unless it forms part of their assigned duties and has been authorised in writing by the Chief Information Security Officer.</w:t>
      </w:r>
    </w:p>
    <w:p>
      <w:pPr>
        <w:pStyle w:val="Heading2"/>
        <w:spacing w:after="120" w:before="240"/>
      </w:pPr>
      <w:r>
        <w:t xml:space="preserve">5.2 Incidental personal use</w:t>
      </w:r>
    </w:p>
    <w:p>
      <w:pPr>
        <w:spacing w:after="140" w:line="276"/>
      </w:pPr>
      <w:r>
        <w:rPr>
          <w:sz w:val="22"/>
          <w:szCs w:val="22"/>
        </w:rPr>
        <w:t xml:space="preserve">The company permits limited and reasonable personal use of corporate email, internet access and collaboration tools, provided that such use does not interfere with the worker’s duties, does not consume material company resources, does not expose the company to security or legal risk, and does not contravene any provision of this policy.</w:t>
      </w:r>
    </w:p>
    <w:p>
      <w:pPr>
        <w:spacing w:after="140" w:line="276"/>
      </w:pPr>
      <w:r>
        <w:rPr>
          <w:sz w:val="22"/>
          <w:szCs w:val="22"/>
        </w:rPr>
        <w:t xml:space="preserve">Workers should have no expectation of privacy in respect of personal use of company systems, subject to section 3.9 and to applicable data protection law.</w:t>
      </w:r>
    </w:p>
    <w:p>
      <w:pPr>
        <w:pStyle w:val="Heading2"/>
        <w:spacing w:after="120" w:before="240"/>
      </w:pPr>
      <w:r>
        <w:t xml:space="preserve">5.3 Account credentials and authentication</w:t>
      </w:r>
    </w:p>
    <w:p>
      <w:pPr>
        <w:pStyle w:val="ListParagraph"/>
        <w:numPr>
          <w:ilvl w:val="0"/>
          <w:numId w:val="2"/>
        </w:numPr>
        <w:spacing w:after="80" w:line="276"/>
      </w:pPr>
      <w:r>
        <w:rPr>
          <w:sz w:val="22"/>
          <w:szCs w:val="22"/>
        </w:rPr>
        <w:t xml:space="preserve">Each worker is issued individual credentials and is accountable for all activity performed under them.</w:t>
      </w:r>
    </w:p>
    <w:p>
      <w:pPr>
        <w:pStyle w:val="ListParagraph"/>
        <w:numPr>
          <w:ilvl w:val="0"/>
          <w:numId w:val="2"/>
        </w:numPr>
        <w:spacing w:after="80" w:line="276"/>
      </w:pPr>
      <w:r>
        <w:rPr>
          <w:sz w:val="22"/>
          <w:szCs w:val="22"/>
        </w:rPr>
        <w:t xml:space="preserve">Credentials must not be shared, disclosed, written down in an unprotected form, or embedded in scripts, source code, configuration files, ticket comments or chat messages.</w:t>
      </w:r>
    </w:p>
    <w:p>
      <w:pPr>
        <w:pStyle w:val="ListParagraph"/>
        <w:numPr>
          <w:ilvl w:val="0"/>
          <w:numId w:val="2"/>
        </w:numPr>
        <w:spacing w:after="80" w:line="276"/>
      </w:pPr>
      <w:r>
        <w:rPr>
          <w:sz w:val="22"/>
          <w:szCs w:val="22"/>
        </w:rPr>
        <w:t xml:space="preserve">Passwords for company accounts must meet the requirements set out in AFT-ISMS-STD-02 Authentication and Credential Standard, and must be stored only in the company-approved password manager.</w:t>
      </w:r>
    </w:p>
    <w:p>
      <w:pPr>
        <w:pStyle w:val="ListParagraph"/>
        <w:numPr>
          <w:ilvl w:val="0"/>
          <w:numId w:val="2"/>
        </w:numPr>
        <w:spacing w:after="80" w:line="276"/>
      </w:pPr>
      <w:r>
        <w:rPr>
          <w:sz w:val="22"/>
          <w:szCs w:val="22"/>
        </w:rPr>
        <w:t xml:space="preserve">Multi-factor authentication must be enabled on every account for which it is available and must not be bypassed, delegated or shared.</w:t>
      </w:r>
    </w:p>
    <w:p>
      <w:pPr>
        <w:pStyle w:val="ListParagraph"/>
        <w:numPr>
          <w:ilvl w:val="0"/>
          <w:numId w:val="2"/>
        </w:numPr>
        <w:spacing w:after="80" w:line="276"/>
      </w:pPr>
      <w:r>
        <w:rPr>
          <w:sz w:val="22"/>
          <w:szCs w:val="22"/>
        </w:rPr>
        <w:t xml:space="preserve">Workers must not use their corporate email address or corporate password for personal accounts or services.</w:t>
      </w:r>
    </w:p>
    <w:p>
      <w:pPr>
        <w:pStyle w:val="ListParagraph"/>
        <w:numPr>
          <w:ilvl w:val="0"/>
          <w:numId w:val="2"/>
        </w:numPr>
        <w:spacing w:after="80" w:line="276"/>
      </w:pPr>
      <w:r>
        <w:rPr>
          <w:sz w:val="22"/>
          <w:szCs w:val="22"/>
        </w:rPr>
        <w:t xml:space="preserve">Any suspected compromise of credentials must be reported immediately in accordance with the Incident Response Policy.</w:t>
      </w:r>
    </w:p>
    <w:p>
      <w:pPr>
        <w:pStyle w:val="Heading2"/>
        <w:spacing w:after="120" w:before="240"/>
      </w:pPr>
      <w:r>
        <w:t xml:space="preserve">5.4 Endpoint devices and removable media</w:t>
      </w:r>
    </w:p>
    <w:p>
      <w:pPr>
        <w:pStyle w:val="ListParagraph"/>
        <w:numPr>
          <w:ilvl w:val="0"/>
          <w:numId w:val="2"/>
        </w:numPr>
        <w:spacing w:after="80" w:line="276"/>
      </w:pPr>
      <w:r>
        <w:rPr>
          <w:sz w:val="22"/>
          <w:szCs w:val="22"/>
        </w:rPr>
        <w:t xml:space="preserve">Company endpoints must remain enrolled in the corporate device management platform, with disk encryption, endpoint detection and response, and automatic patching enabled at all times.</w:t>
      </w:r>
    </w:p>
    <w:p>
      <w:pPr>
        <w:pStyle w:val="ListParagraph"/>
        <w:numPr>
          <w:ilvl w:val="0"/>
          <w:numId w:val="2"/>
        </w:numPr>
        <w:spacing w:after="80" w:line="276"/>
      </w:pPr>
      <w:r>
        <w:rPr>
          <w:sz w:val="22"/>
          <w:szCs w:val="22"/>
        </w:rPr>
        <w:t xml:space="preserve">Workers must lock their screens when leaving a device unattended and must not leave devices visible in unattended vehicles or in unsecured public spaces.</w:t>
      </w:r>
    </w:p>
    <w:p>
      <w:pPr>
        <w:pStyle w:val="ListParagraph"/>
        <w:numPr>
          <w:ilvl w:val="0"/>
          <w:numId w:val="2"/>
        </w:numPr>
        <w:spacing w:after="80" w:line="276"/>
      </w:pPr>
      <w:r>
        <w:rPr>
          <w:sz w:val="22"/>
          <w:szCs w:val="22"/>
        </w:rPr>
        <w:t xml:space="preserve">Administrative rights on endpoints are granted only where a documented business need exists and are subject to the approval process in the Access Control Policy.</w:t>
      </w:r>
    </w:p>
    <w:p>
      <w:pPr>
        <w:pStyle w:val="ListParagraph"/>
        <w:numPr>
          <w:ilvl w:val="0"/>
          <w:numId w:val="2"/>
        </w:numPr>
        <w:spacing w:after="80" w:line="276"/>
      </w:pPr>
      <w:r>
        <w:rPr>
          <w:sz w:val="22"/>
          <w:szCs w:val="22"/>
        </w:rPr>
        <w:t xml:space="preserve">Removable media may be used only where a documented business need exists, must be company-issued, and must be encrypted. Personal removable media must not be connected to company endpoints.</w:t>
      </w:r>
    </w:p>
    <w:p>
      <w:pPr>
        <w:pStyle w:val="ListParagraph"/>
        <w:numPr>
          <w:ilvl w:val="0"/>
          <w:numId w:val="2"/>
        </w:numPr>
        <w:spacing w:after="80" w:line="276"/>
      </w:pPr>
      <w:r>
        <w:rPr>
          <w:sz w:val="22"/>
          <w:szCs w:val="22"/>
        </w:rPr>
        <w:t xml:space="preserve">Loss or theft of any device holding company information must be reported immediately, and within the timescale set in AFT-ISMS-POL-02 section 4.</w:t>
      </w:r>
    </w:p>
    <w:p>
      <w:pPr>
        <w:pStyle w:val="Heading2"/>
        <w:spacing w:after="120" w:before="240"/>
      </w:pPr>
      <w:r>
        <w:t xml:space="preserve">5.5 Electronic communications</w:t>
      </w:r>
    </w:p>
    <w:p>
      <w:pPr>
        <w:pStyle w:val="ListParagraph"/>
        <w:numPr>
          <w:ilvl w:val="0"/>
          <w:numId w:val="2"/>
        </w:numPr>
        <w:spacing w:after="80" w:line="276"/>
      </w:pPr>
      <w:r>
        <w:rPr>
          <w:sz w:val="22"/>
          <w:szCs w:val="22"/>
        </w:rPr>
        <w:t xml:space="preserve">Workers must exercise care when addressing messages containing Confidential or Restricted information and must verify recipients before sending.</w:t>
      </w:r>
    </w:p>
    <w:p>
      <w:pPr>
        <w:pStyle w:val="ListParagraph"/>
        <w:numPr>
          <w:ilvl w:val="0"/>
          <w:numId w:val="2"/>
        </w:numPr>
        <w:spacing w:after="80" w:line="276"/>
      </w:pPr>
      <w:r>
        <w:rPr>
          <w:sz w:val="22"/>
          <w:szCs w:val="22"/>
        </w:rPr>
        <w:t xml:space="preserve">Company information must not be forwarded to personal email accounts or personal cloud storage.</w:t>
      </w:r>
    </w:p>
    <w:p>
      <w:pPr>
        <w:pStyle w:val="ListParagraph"/>
        <w:numPr>
          <w:ilvl w:val="0"/>
          <w:numId w:val="2"/>
        </w:numPr>
        <w:spacing w:after="80" w:line="276"/>
      </w:pPr>
      <w:r>
        <w:rPr>
          <w:sz w:val="22"/>
          <w:szCs w:val="22"/>
        </w:rPr>
        <w:t xml:space="preserve">Workers must not open attachments or follow links in unexpected messages and must report suspected phishing using the Report Phishing function in the mail client.</w:t>
      </w:r>
    </w:p>
    <w:p>
      <w:pPr>
        <w:pStyle w:val="ListParagraph"/>
        <w:numPr>
          <w:ilvl w:val="0"/>
          <w:numId w:val="2"/>
        </w:numPr>
        <w:spacing w:after="80" w:line="276"/>
      </w:pPr>
      <w:r>
        <w:rPr>
          <w:sz w:val="22"/>
          <w:szCs w:val="22"/>
        </w:rPr>
        <w:t xml:space="preserve">Automatic forwarding rules to external addresses are prohibited and are monitored for.</w:t>
      </w:r>
    </w:p>
    <w:p>
      <w:pPr>
        <w:pStyle w:val="ListParagraph"/>
        <w:numPr>
          <w:ilvl w:val="0"/>
          <w:numId w:val="2"/>
        </w:numPr>
        <w:spacing w:after="80" w:line="276"/>
      </w:pPr>
      <w:r>
        <w:rPr>
          <w:sz w:val="22"/>
          <w:szCs w:val="22"/>
        </w:rPr>
        <w:t xml:space="preserve">Workers must not create the impression that a personal opinion represents the position of the company. Public statements about the company, its customers or its security posture may be made only by authorised spokespersons.</w:t>
      </w:r>
    </w:p>
    <w:p>
      <w:pPr>
        <w:pStyle w:val="Heading2"/>
        <w:spacing w:after="120" w:before="240"/>
      </w:pPr>
      <w:r>
        <w:t xml:space="preserve">5.6 Internet, cloud services and artificial intelligence tools</w:t>
      </w:r>
    </w:p>
    <w:p>
      <w:pPr>
        <w:spacing w:after="140" w:line="276"/>
      </w:pPr>
      <w:r>
        <w:rPr>
          <w:sz w:val="22"/>
          <w:szCs w:val="22"/>
        </w:rPr>
        <w:t xml:space="preserve">Workers must use only those cloud services that have been assessed and approved under the Third-Party Risk Management Policy. Procuring or adopting a new service that will process company data without that assessment is prohibited, irrespective of cost.</w:t>
      </w:r>
    </w:p>
    <w:p>
      <w:pPr>
        <w:spacing w:after="140" w:line="276"/>
      </w:pPr>
      <w:r>
        <w:rPr>
          <w:sz w:val="22"/>
          <w:szCs w:val="22"/>
        </w:rPr>
        <w:t xml:space="preserve">Generative artificial intelligence tools may be used only where they appear on the approved tooling register at AFT-ISMS-STD-11. Workers must not submit Confidential or Restricted information, customer personal data, cardholder data, credentials, or proprietary source code to any tool that has not been approved for that classification. Output from such tools must be reviewed by the worker before use and remains the worker’s professional responsibility.</w:t>
      </w:r>
    </w:p>
    <w:p>
      <w:pPr>
        <w:spacing w:after="140" w:line="276"/>
      </w:pPr>
      <w:r>
        <w:rPr>
          <w:sz w:val="22"/>
          <w:szCs w:val="22"/>
        </w:rPr>
        <w:t xml:space="preserve">Where an artificial intelligence tool contributes to a decision affecting a customer — including any credit, pricing, fraud or dispute outcome — the worker remains accountable for the decision, and the use must be recorded so that the decision can be explained to the customer and to a regulator.</w:t>
      </w:r>
    </w:p>
    <w:p>
      <w:pPr>
        <w:spacing w:after="140" w:line="276"/>
      </w:pPr>
      <w:r>
        <w:rPr>
          <w:sz w:val="22"/>
          <w:szCs w:val="22"/>
        </w:rPr>
        <w:t xml:space="preserve">Two matters here are settled and one is not. Settled: the prohibition on submitting Confidential or Restricted information to unapproved tools, and the requirement that the tooling register governs. Not settled: whether Aldridge will deploy a sanctioned enterprise generative AI capability, which is under consideration by the Executive Risk Committee and has no approval date. Until that decision is taken, workers should assume no such capability exists and should not adopt one in anticipation.</w:t>
      </w:r>
    </w:p>
    <w:p>
      <w:pPr>
        <w:pStyle w:val="Heading2"/>
        <w:spacing w:after="120" w:before="240"/>
      </w:pPr>
      <w:r>
        <w:t xml:space="preserve">5.7 Development and production environments</w:t>
      </w:r>
    </w:p>
    <w:p>
      <w:pPr>
        <w:pStyle w:val="ListParagraph"/>
        <w:numPr>
          <w:ilvl w:val="0"/>
          <w:numId w:val="2"/>
        </w:numPr>
        <w:spacing w:after="80" w:line="276"/>
      </w:pPr>
      <w:r>
        <w:rPr>
          <w:sz w:val="22"/>
          <w:szCs w:val="22"/>
        </w:rPr>
        <w:t xml:space="preserve">Production data must not be copied into development or test environments unless it has been masked or tokenised in accordance with the Data Classification Policy.</w:t>
      </w:r>
    </w:p>
    <w:p>
      <w:pPr>
        <w:pStyle w:val="ListParagraph"/>
        <w:numPr>
          <w:ilvl w:val="0"/>
          <w:numId w:val="2"/>
        </w:numPr>
        <w:spacing w:after="80" w:line="276"/>
      </w:pPr>
      <w:r>
        <w:rPr>
          <w:sz w:val="22"/>
          <w:szCs w:val="22"/>
        </w:rPr>
        <w:t xml:space="preserve">Source code must be held in the company’s approved repositories. Company code must not be pushed to personal or public repositories.</w:t>
      </w:r>
    </w:p>
    <w:p>
      <w:pPr>
        <w:pStyle w:val="ListParagraph"/>
        <w:numPr>
          <w:ilvl w:val="0"/>
          <w:numId w:val="2"/>
        </w:numPr>
        <w:spacing w:after="80" w:line="276"/>
      </w:pPr>
      <w:r>
        <w:rPr>
          <w:sz w:val="22"/>
          <w:szCs w:val="22"/>
        </w:rPr>
        <w:t xml:space="preserve">Secrets must be held in the approved secrets management service and never committed to version control.</w:t>
      </w:r>
    </w:p>
    <w:p>
      <w:pPr>
        <w:pStyle w:val="ListParagraph"/>
        <w:numPr>
          <w:ilvl w:val="0"/>
          <w:numId w:val="2"/>
        </w:numPr>
        <w:spacing w:after="80" w:line="276"/>
      </w:pPr>
      <w:r>
        <w:rPr>
          <w:sz w:val="22"/>
          <w:szCs w:val="22"/>
        </w:rPr>
        <w:t xml:space="preserve">Changes to production systems must follow the change management process; direct manual changes are permitted only under the documented emergency change procedure.</w:t>
      </w:r>
    </w:p>
    <w:p>
      <w:pPr>
        <w:pStyle w:val="Heading2"/>
        <w:spacing w:after="120" w:before="240"/>
      </w:pPr>
      <w:r>
        <w:t xml:space="preserve">5.8 Remote and hybrid working</w:t>
      </w:r>
    </w:p>
    <w:p>
      <w:pPr>
        <w:pStyle w:val="ListParagraph"/>
        <w:numPr>
          <w:ilvl w:val="0"/>
          <w:numId w:val="2"/>
        </w:numPr>
        <w:spacing w:after="80" w:line="276"/>
      </w:pPr>
      <w:r>
        <w:rPr>
          <w:sz w:val="22"/>
          <w:szCs w:val="22"/>
        </w:rPr>
        <w:t xml:space="preserve">Workers must connect through the corporate virtual private network when accessing internal systems from an untrusted network.</w:t>
      </w:r>
    </w:p>
    <w:p>
      <w:pPr>
        <w:pStyle w:val="ListParagraph"/>
        <w:numPr>
          <w:ilvl w:val="0"/>
          <w:numId w:val="2"/>
        </w:numPr>
        <w:spacing w:after="80" w:line="276"/>
      </w:pPr>
      <w:r>
        <w:rPr>
          <w:sz w:val="22"/>
          <w:szCs w:val="22"/>
        </w:rPr>
        <w:t xml:space="preserve">Workers must take reasonable steps to prevent overlooking of screens and overhearing of calls in public spaces, and must use a privacy screen when working with Confidential or Restricted information in public.</w:t>
      </w:r>
    </w:p>
    <w:p>
      <w:pPr>
        <w:pStyle w:val="ListParagraph"/>
        <w:numPr>
          <w:ilvl w:val="0"/>
          <w:numId w:val="2"/>
        </w:numPr>
        <w:spacing w:after="80" w:line="276"/>
      </w:pPr>
      <w:r>
        <w:rPr>
          <w:sz w:val="22"/>
          <w:szCs w:val="22"/>
        </w:rPr>
        <w:t xml:space="preserve">Home networking equipment used for company work must have default administrative credentials changed and current firmware applied.</w:t>
      </w:r>
    </w:p>
    <w:p>
      <w:pPr>
        <w:pStyle w:val="Heading2"/>
        <w:spacing w:after="120" w:before="240"/>
      </w:pPr>
      <w:r>
        <w:t xml:space="preserve">5.9 Monitoring</w:t>
      </w:r>
    </w:p>
    <w:p>
      <w:pPr>
        <w:spacing w:after="140" w:line="276"/>
      </w:pPr>
      <w:r>
        <w:rPr>
          <w:sz w:val="22"/>
          <w:szCs w:val="22"/>
        </w:rPr>
        <w:t xml:space="preserve">The company monitors and logs the use of its information systems for the purposes of protecting information security, investigating suspected policy breaches, meeting regulatory and contractual obligations, and maintaining service quality.</w:t>
      </w:r>
    </w:p>
    <w:p>
      <w:pPr>
        <w:spacing w:after="140" w:line="276"/>
      </w:pPr>
      <w:r>
        <w:rPr>
          <w:sz w:val="22"/>
          <w:szCs w:val="22"/>
        </w:rPr>
        <w:t xml:space="preserve">The lawful basis and the practical limits differ by jurisdiction, and the company applies the higher standard where the two diverge.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560"/>
      </w:tblGrid>
      <w:tr>
        <w:trPr>
          <w:tblHeader/>
        </w:trPr>
        <w:tc>
          <w:tcPr>
            <w:tcW w:type="dxa" w:w="2200"/>
            <w:shd w:fill="E7EAF0" w:color="auto" w:val="clear"/>
            <w:tcMar>
              <w:top w:type="dxa" w:w="90"/>
              <w:left w:type="dxa" w:w="130"/>
              <w:bottom w:type="dxa" w:w="90"/>
              <w:right w:type="dxa" w:w="130"/>
            </w:tcMar>
          </w:tcPr>
          <w:p>
            <w:pPr>
              <w:spacing w:after="0" w:line="260"/>
            </w:pPr>
            <w:r>
              <w:rPr>
                <w:b/>
                <w:bCs/>
                <w:sz w:val="20"/>
                <w:szCs w:val="20"/>
              </w:rPr>
              <w:t xml:space="preserve"/>
            </w:r>
          </w:p>
        </w:tc>
        <w:tc>
          <w:tcPr>
            <w:tcW w:type="dxa" w:w="3600"/>
            <w:shd w:fill="E7EAF0" w:color="auto" w:val="clear"/>
            <w:tcMar>
              <w:top w:type="dxa" w:w="90"/>
              <w:left w:type="dxa" w:w="130"/>
              <w:bottom w:type="dxa" w:w="90"/>
              <w:right w:type="dxa" w:w="130"/>
            </w:tcMar>
          </w:tcPr>
          <w:p>
            <w:pPr>
              <w:spacing w:after="0" w:line="260"/>
            </w:pPr>
            <w:r>
              <w:rPr>
                <w:b/>
                <w:bCs/>
                <w:sz w:val="20"/>
                <w:szCs w:val="20"/>
              </w:rPr>
              <w:t xml:space="preserve">United Kingdom entity</w:t>
            </w:r>
          </w:p>
        </w:tc>
        <w:tc>
          <w:tcPr>
            <w:tcW w:type="dxa" w:w="3560"/>
            <w:shd w:fill="E7EAF0" w:color="auto" w:val="clear"/>
            <w:tcMar>
              <w:top w:type="dxa" w:w="90"/>
              <w:left w:type="dxa" w:w="130"/>
              <w:bottom w:type="dxa" w:w="90"/>
              <w:right w:type="dxa" w:w="130"/>
            </w:tcMar>
          </w:tcPr>
          <w:p>
            <w:pPr>
              <w:spacing w:after="0" w:line="260"/>
            </w:pPr>
            <w:r>
              <w:rPr>
                <w:b/>
                <w:bCs/>
                <w:sz w:val="20"/>
                <w:szCs w:val="20"/>
              </w:rPr>
              <w:t xml:space="preserve">United States entity</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Basis</w:t>
            </w:r>
          </w:p>
        </w:tc>
        <w:tc>
          <w:tcPr>
            <w:tcW w:type="dxa" w:w="3600"/>
            <w:tcMar>
              <w:top w:type="dxa" w:w="90"/>
              <w:left w:type="dxa" w:w="130"/>
              <w:bottom w:type="dxa" w:w="90"/>
              <w:right w:type="dxa" w:w="130"/>
            </w:tcMar>
          </w:tcPr>
          <w:p>
            <w:pPr>
              <w:spacing w:after="0" w:line="260"/>
            </w:pPr>
            <w:r>
              <w:rPr>
                <w:b w:val="false"/>
                <w:bCs w:val="false"/>
                <w:sz w:val="20"/>
                <w:szCs w:val="20"/>
              </w:rPr>
              <w:t xml:space="preserve">Legitimate interests, supported by a documented legitimate interests assessment and, where required, a data protection impact assessment. Conducted in line with the ICO’s guidance on monitoring at work.</w:t>
            </w:r>
          </w:p>
        </w:tc>
        <w:tc>
          <w:tcPr>
            <w:tcW w:type="dxa" w:w="3560"/>
            <w:tcMar>
              <w:top w:type="dxa" w:w="90"/>
              <w:left w:type="dxa" w:w="130"/>
              <w:bottom w:type="dxa" w:w="90"/>
              <w:right w:type="dxa" w:w="130"/>
            </w:tcMar>
          </w:tcPr>
          <w:p>
            <w:pPr>
              <w:spacing w:after="0" w:line="260"/>
            </w:pPr>
            <w:r>
              <w:rPr>
                <w:b w:val="false"/>
                <w:bCs w:val="false"/>
                <w:sz w:val="20"/>
                <w:szCs w:val="20"/>
              </w:rPr>
              <w:t xml:space="preserve">Consent recorded at onboarding, supported by the worker privacy notice. No equivalent proportionality test applies as a matter of law.</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Worker information</w:t>
            </w:r>
          </w:p>
        </w:tc>
        <w:tc>
          <w:tcPr>
            <w:tcW w:type="dxa" w:w="3600"/>
            <w:tcMar>
              <w:top w:type="dxa" w:w="90"/>
              <w:left w:type="dxa" w:w="130"/>
              <w:bottom w:type="dxa" w:w="90"/>
              <w:right w:type="dxa" w:w="130"/>
            </w:tcMar>
          </w:tcPr>
          <w:p>
            <w:pPr>
              <w:spacing w:after="0" w:line="260"/>
            </w:pPr>
            <w:r>
              <w:rPr>
                <w:b w:val="false"/>
                <w:bCs w:val="false"/>
                <w:sz w:val="20"/>
                <w:szCs w:val="20"/>
              </w:rPr>
              <w:t xml:space="preserve">Workers are told what is monitored, why, and how the output is used, before monitoring begins.</w:t>
            </w:r>
          </w:p>
        </w:tc>
        <w:tc>
          <w:tcPr>
            <w:tcW w:type="dxa" w:w="3560"/>
            <w:tcMar>
              <w:top w:type="dxa" w:w="90"/>
              <w:left w:type="dxa" w:w="130"/>
              <w:bottom w:type="dxa" w:w="90"/>
              <w:right w:type="dxa" w:w="130"/>
            </w:tcMar>
          </w:tcPr>
          <w:p>
            <w:pPr>
              <w:spacing w:after="0" w:line="260"/>
            </w:pPr>
            <w:r>
              <w:rPr>
                <w:b w:val="false"/>
                <w:bCs w:val="false"/>
                <w:sz w:val="20"/>
                <w:szCs w:val="20"/>
              </w:rPr>
              <w:t xml:space="preserve">The same information is provided. The company applies the UK standard here by choice, not by obligation.</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Covert monitoring</w:t>
            </w:r>
          </w:p>
        </w:tc>
        <w:tc>
          <w:tcPr>
            <w:tcW w:type="dxa" w:w="3600"/>
            <w:tcMar>
              <w:top w:type="dxa" w:w="90"/>
              <w:left w:type="dxa" w:w="130"/>
              <w:bottom w:type="dxa" w:w="90"/>
              <w:right w:type="dxa" w:w="130"/>
            </w:tcMar>
          </w:tcPr>
          <w:p>
            <w:pPr>
              <w:spacing w:after="0" w:line="260"/>
            </w:pPr>
            <w:r>
              <w:rPr>
                <w:b w:val="false"/>
                <w:bCs w:val="false"/>
                <w:sz w:val="20"/>
                <w:szCs w:val="20"/>
              </w:rPr>
              <w:t xml:space="preserve">Permitted only where there is reasonable suspicion of serious wrongdoing, authorised in writing by the General Counsel, proportionate, and time-limited.</w:t>
            </w:r>
          </w:p>
        </w:tc>
        <w:tc>
          <w:tcPr>
            <w:tcW w:type="dxa" w:w="3560"/>
            <w:tcMar>
              <w:top w:type="dxa" w:w="90"/>
              <w:left w:type="dxa" w:w="130"/>
              <w:bottom w:type="dxa" w:w="90"/>
              <w:right w:type="dxa" w:w="130"/>
            </w:tcMar>
          </w:tcPr>
          <w:p>
            <w:pPr>
              <w:spacing w:after="0" w:line="260"/>
            </w:pPr>
            <w:r>
              <w:rPr>
                <w:b w:val="false"/>
                <w:bCs w:val="false"/>
                <w:sz w:val="20"/>
                <w:szCs w:val="20"/>
              </w:rPr>
              <w:t xml:space="preserve">Same requirement applied.</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Access to output</w:t>
            </w:r>
          </w:p>
        </w:tc>
        <w:tc>
          <w:tcPr>
            <w:tcW w:type="dxa" w:w="3600"/>
            <w:tcMar>
              <w:top w:type="dxa" w:w="90"/>
              <w:left w:type="dxa" w:w="130"/>
              <w:bottom w:type="dxa" w:w="90"/>
              <w:right w:type="dxa" w:w="130"/>
            </w:tcMar>
          </w:tcPr>
          <w:p>
            <w:pPr>
              <w:spacing w:after="0" w:line="260"/>
            </w:pPr>
            <w:r>
              <w:rPr>
                <w:b w:val="false"/>
                <w:bCs w:val="false"/>
                <w:sz w:val="20"/>
                <w:szCs w:val="20"/>
              </w:rPr>
              <w:t xml:space="preserve">Restricted to authorised personnel in Information Security, Legal and People Operations, released only for a defined and documented purpose.</w:t>
            </w:r>
          </w:p>
        </w:tc>
        <w:tc>
          <w:tcPr>
            <w:tcW w:type="dxa" w:w="3560"/>
            <w:tcMar>
              <w:top w:type="dxa" w:w="90"/>
              <w:left w:type="dxa" w:w="130"/>
              <w:bottom w:type="dxa" w:w="90"/>
              <w:right w:type="dxa" w:w="130"/>
            </w:tcMar>
          </w:tcPr>
          <w:p>
            <w:pPr>
              <w:spacing w:after="0" w:line="260"/>
            </w:pPr>
            <w:r>
              <w:rPr>
                <w:b w:val="false"/>
                <w:bCs w:val="false"/>
                <w:sz w:val="20"/>
                <w:szCs w:val="20"/>
              </w:rPr>
              <w:t xml:space="preserve">Same restriction applied.</w:t>
            </w:r>
          </w:p>
        </w:tc>
      </w:tr>
    </w:tbl>
    <w:p>
      <w:pPr>
        <w:spacing w:after="140" w:line="276"/>
      </w:pPr>
      <w:r>
        <w:rPr>
          <w:sz w:val="22"/>
          <w:szCs w:val="22"/>
        </w:rPr>
        <w:t xml:space="preserve">The following limits apply everywhere and are not subject to exception:</w:t>
      </w:r>
    </w:p>
    <w:p>
      <w:pPr>
        <w:pStyle w:val="ListParagraph"/>
        <w:numPr>
          <w:ilvl w:val="0"/>
          <w:numId w:val="2"/>
        </w:numPr>
        <w:spacing w:after="80" w:line="276"/>
      </w:pPr>
      <w:r>
        <w:rPr>
          <w:sz w:val="22"/>
          <w:szCs w:val="22"/>
        </w:rPr>
        <w:t xml:space="preserve">Monitoring output is not used to assess productivity or performance, and does not enter a performance review.</w:t>
      </w:r>
    </w:p>
    <w:p>
      <w:pPr>
        <w:pStyle w:val="ListParagraph"/>
        <w:numPr>
          <w:ilvl w:val="0"/>
          <w:numId w:val="2"/>
        </w:numPr>
        <w:spacing w:after="80" w:line="276"/>
      </w:pPr>
      <w:r>
        <w:rPr>
          <w:sz w:val="22"/>
          <w:szCs w:val="22"/>
        </w:rPr>
        <w:t xml:space="preserve">The content of communications a worker has marked as personal is not read except under the covert monitoring authorisation above.</w:t>
      </w:r>
    </w:p>
    <w:p>
      <w:pPr>
        <w:pStyle w:val="ListParagraph"/>
        <w:numPr>
          <w:ilvl w:val="0"/>
          <w:numId w:val="2"/>
        </w:numPr>
        <w:spacing w:after="80" w:line="276"/>
      </w:pPr>
      <w:r>
        <w:rPr>
          <w:sz w:val="22"/>
          <w:szCs w:val="22"/>
        </w:rPr>
        <w:t xml:space="preserve">Monitoring is not directed at a worker on the basis of trade union membership or activity, or on the basis of any protected characteristic.</w:t>
      </w:r>
    </w:p>
    <w:p>
      <w:pPr>
        <w:pStyle w:val="ListParagraph"/>
        <w:numPr>
          <w:ilvl w:val="0"/>
          <w:numId w:val="2"/>
        </w:numPr>
        <w:spacing w:after="80" w:line="276"/>
      </w:pPr>
      <w:r>
        <w:rPr>
          <w:sz w:val="22"/>
          <w:szCs w:val="22"/>
        </w:rPr>
        <w:t xml:space="preserve">Nothing in this section prevents a worker making a protected disclosure, or communicating in confidence with a regulator, a trade union representative, or their own legal adviser.</w:t>
      </w:r>
    </w:p>
    <w:p>
      <w:pPr>
        <w:spacing w:after="140" w:line="276"/>
      </w:pPr>
      <w:r>
        <w:rPr>
          <w:sz w:val="22"/>
          <w:szCs w:val="22"/>
        </w:rPr>
        <w:t xml:space="preserve">Where a monitoring measure would materially affect a worker’s ability to do their job — for example withdrawal of system access pending investigation — People Operations must confirm the approach against the employment law of the relevant jurisdiction before it is applied, and it must be applied consistently rather than at individual managerial discretion. The two jurisdictions diverge materially here and a single global rule applied without that check creates a claim rather than a control.</w:t>
      </w:r>
    </w:p>
    <w:p>
      <w:pPr>
        <w:pStyle w:val="Heading1"/>
        <w:spacing w:after="160" w:before="320"/>
      </w:pPr>
      <w:r>
        <w:t xml:space="preserve">7. Roles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Role</w:t>
            </w:r>
          </w:p>
        </w:tc>
        <w:tc>
          <w:tcPr>
            <w:tcW w:type="dxa" w:w="6760"/>
            <w:shd w:fill="E7EAF0" w:color="auto" w:val="clear"/>
            <w:tcMar>
              <w:top w:type="dxa" w:w="90"/>
              <w:left w:type="dxa" w:w="130"/>
              <w:bottom w:type="dxa" w:w="90"/>
              <w:right w:type="dxa" w:w="130"/>
            </w:tcMar>
          </w:tcPr>
          <w:p>
            <w:pPr>
              <w:spacing w:after="0" w:line="260"/>
            </w:pPr>
            <w:r>
              <w:rPr>
                <w:b/>
                <w:bCs/>
                <w:sz w:val="20"/>
                <w:szCs w:val="20"/>
              </w:rPr>
              <w:t xml:space="preserve">Responsibility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All workers</w:t>
            </w:r>
          </w:p>
        </w:tc>
        <w:tc>
          <w:tcPr>
            <w:tcW w:type="dxa" w:w="6760"/>
            <w:tcMar>
              <w:top w:type="dxa" w:w="90"/>
              <w:left w:type="dxa" w:w="130"/>
              <w:bottom w:type="dxa" w:w="90"/>
              <w:right w:type="dxa" w:w="130"/>
            </w:tcMar>
          </w:tcPr>
          <w:p>
            <w:pPr>
              <w:spacing w:after="0" w:line="260"/>
            </w:pPr>
            <w:r>
              <w:rPr>
                <w:b w:val="false"/>
                <w:bCs w:val="false"/>
                <w:sz w:val="20"/>
                <w:szCs w:val="20"/>
              </w:rPr>
              <w:t xml:space="preserve">Read, understand and comply with this policy; complete assigned security awareness training; report suspected incidents and policy breaches promptly.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Line managers</w:t>
            </w:r>
          </w:p>
        </w:tc>
        <w:tc>
          <w:tcPr>
            <w:tcW w:type="dxa" w:w="6760"/>
            <w:tcMar>
              <w:top w:type="dxa" w:w="90"/>
              <w:left w:type="dxa" w:w="130"/>
              <w:bottom w:type="dxa" w:w="90"/>
              <w:right w:type="dxa" w:w="130"/>
            </w:tcMar>
          </w:tcPr>
          <w:p>
            <w:pPr>
              <w:spacing w:after="0" w:line="260"/>
            </w:pPr>
            <w:r>
              <w:rPr>
                <w:b w:val="false"/>
                <w:bCs w:val="false"/>
                <w:sz w:val="20"/>
                <w:szCs w:val="20"/>
              </w:rPr>
              <w:t xml:space="preserve">Reinforce the policy within their teams; ensure joiners complete induction training before access is granted; initiate the leaver process on the last working day or earlier.</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6760"/>
            <w:tcMar>
              <w:top w:type="dxa" w:w="90"/>
              <w:left w:type="dxa" w:w="130"/>
              <w:bottom w:type="dxa" w:w="90"/>
              <w:right w:type="dxa" w:w="130"/>
            </w:tcMar>
          </w:tcPr>
          <w:p>
            <w:pPr>
              <w:spacing w:after="0" w:line="260"/>
            </w:pPr>
            <w:r>
              <w:rPr>
                <w:b w:val="false"/>
                <w:bCs w:val="false"/>
                <w:sz w:val="20"/>
                <w:szCs w:val="20"/>
              </w:rPr>
              <w:t xml:space="preserve">Owns the policy; maintains supporting standards; authorises exceptions; reports compliance to the Executive Risk Committee.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Information Security team</w:t>
            </w:r>
          </w:p>
        </w:tc>
        <w:tc>
          <w:tcPr>
            <w:tcW w:type="dxa" w:w="6760"/>
            <w:tcMar>
              <w:top w:type="dxa" w:w="90"/>
              <w:left w:type="dxa" w:w="130"/>
              <w:bottom w:type="dxa" w:w="90"/>
              <w:right w:type="dxa" w:w="130"/>
            </w:tcMar>
          </w:tcPr>
          <w:p>
            <w:pPr>
              <w:spacing w:after="0" w:line="260"/>
            </w:pPr>
            <w:r>
              <w:rPr>
                <w:b w:val="false"/>
                <w:bCs w:val="false"/>
                <w:sz w:val="20"/>
                <w:szCs w:val="20"/>
              </w:rPr>
              <w:t xml:space="preserve">Operates the technical controls that enforce this policy; monitors for breach; investigates reported concerns.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People Operations</w:t>
            </w:r>
          </w:p>
        </w:tc>
        <w:tc>
          <w:tcPr>
            <w:tcW w:type="dxa" w:w="6760"/>
            <w:tcMar>
              <w:top w:type="dxa" w:w="90"/>
              <w:left w:type="dxa" w:w="130"/>
              <w:bottom w:type="dxa" w:w="90"/>
              <w:right w:type="dxa" w:w="130"/>
            </w:tcMar>
          </w:tcPr>
          <w:p>
            <w:pPr>
              <w:spacing w:after="0" w:line="260"/>
            </w:pPr>
            <w:r>
              <w:rPr>
                <w:b w:val="false"/>
                <w:bCs w:val="false"/>
                <w:sz w:val="20"/>
                <w:szCs w:val="20"/>
              </w:rPr>
              <w:t xml:space="preserve">Administers the disciplinary process where a breach is substantiated; ensures the policy is issued at onboarding and on material revision.</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Legal and Compliance</w:t>
            </w:r>
          </w:p>
        </w:tc>
        <w:tc>
          <w:tcPr>
            <w:tcW w:type="dxa" w:w="6760"/>
            <w:tcMar>
              <w:top w:type="dxa" w:w="90"/>
              <w:left w:type="dxa" w:w="130"/>
              <w:bottom w:type="dxa" w:w="90"/>
              <w:right w:type="dxa" w:w="130"/>
            </w:tcMar>
          </w:tcPr>
          <w:p>
            <w:pPr>
              <w:spacing w:after="0" w:line="260"/>
            </w:pPr>
            <w:r>
              <w:rPr>
                <w:b w:val="false"/>
                <w:bCs w:val="false"/>
                <w:sz w:val="20"/>
                <w:szCs w:val="20"/>
              </w:rPr>
              <w:t xml:space="preserve">Advises on the lawfulness and proportionality of monitoring; assesses regulatory reporting obligations arising from breaches.</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Executive Risk Committee</w:t>
            </w:r>
          </w:p>
        </w:tc>
        <w:tc>
          <w:tcPr>
            <w:tcW w:type="dxa" w:w="6760"/>
            <w:tcMar>
              <w:top w:type="dxa" w:w="90"/>
              <w:left w:type="dxa" w:w="130"/>
              <w:bottom w:type="dxa" w:w="90"/>
              <w:right w:type="dxa" w:w="130"/>
            </w:tcMar>
          </w:tcPr>
          <w:p>
            <w:pPr>
              <w:spacing w:after="0" w:line="260"/>
            </w:pPr>
            <w:r>
              <w:rPr>
                <w:b w:val="false"/>
                <w:bCs w:val="false"/>
                <w:sz w:val="20"/>
                <w:szCs w:val="20"/>
              </w:rPr>
              <w:t xml:space="preserve">Approves the policy; accepts residual risk where an exception is granted at or above the high threshold.</w:t>
            </w:r>
          </w:p>
        </w:tc>
      </w:tr>
    </w:tbl>
    <w:p>
      <w:pPr>
        <w:pStyle w:val="Heading1"/>
        <w:spacing w:after="160" w:before="320"/>
      </w:pPr>
      <w:r>
        <w:t xml:space="preserve">8. Compliance and enforcement</w:t>
      </w:r>
    </w:p>
    <w:p>
      <w:pPr>
        <w:spacing w:after="140" w:line="276"/>
      </w:pPr>
      <w:r>
        <w:rPr>
          <w:sz w:val="22"/>
          <w:szCs w:val="22"/>
        </w:rPr>
        <w:t xml:space="preserve">Compliance with this policy is a condition of continued access to company information systems. The Information Security team assesses compliance through automated control monitoring, periodic access reviews, phishing simulation results and internal audit.</w:t>
      </w:r>
    </w:p>
    <w:p>
      <w:pPr>
        <w:spacing w:after="140" w:line="276"/>
      </w:pPr>
      <w:r>
        <w:rPr>
          <w:sz w:val="22"/>
          <w:szCs w:val="22"/>
        </w:rPr>
        <w:t xml:space="preserve">A breach of this policy may result in withdrawal of access, disciplinary action up to and including dismissal, termination of a contract for services, and referral to law enforcement or to a regulator where the conduct warrants it. Workers who deliberately conceal a breach will be treated more seriously than those who report one promptly.</w:t>
      </w:r>
    </w:p>
    <w:p>
      <w:pPr>
        <w:spacing w:after="140" w:line="276"/>
      </w:pPr>
      <w:r>
        <w:rPr>
          <w:sz w:val="22"/>
          <w:szCs w:val="22"/>
        </w:rPr>
        <w:t xml:space="preserve">Nothing in this policy prevents a worker from making a protected disclosure under whistleblowing legislation, or from reporting a concern to a regulator.</w:t>
      </w:r>
    </w:p>
    <w:p>
      <w:pPr>
        <w:pStyle w:val="Heading1"/>
        <w:spacing w:after="160" w:before="320"/>
      </w:pPr>
      <w:r>
        <w:t xml:space="preserve">9. Exceptions</w:t>
      </w:r>
    </w:p>
    <w:p>
      <w:pPr>
        <w:spacing w:after="140" w:line="276"/>
      </w:pPr>
      <w:r>
        <w:rPr>
          <w:sz w:val="22"/>
          <w:szCs w:val="22"/>
        </w:rPr>
        <w:t xml:space="preserve">Any exception to this policy must be requested through the Information Security exception process before the non-compliant activity begins. A request must state the requirement being departed from, the business justification, the duration sought, and the compensating controls proposed.</w:t>
      </w:r>
    </w:p>
    <w:p>
      <w:pPr>
        <w:spacing w:after="140" w:line="276"/>
      </w:pPr>
      <w:r>
        <w:rPr>
          <w:sz w:val="22"/>
          <w:szCs w:val="22"/>
        </w:rPr>
        <w:t xml:space="preserve">Exceptions are approved by the Chief Information Security Officer. Exceptions carrying a residual risk rated High or above additionally require Executive Risk Committee approval. All exceptions are time-bound, recorded in the exception register, and reviewed at expiry. An expired exception is a policy breach.</w:t>
      </w:r>
    </w:p>
    <w:p>
      <w:pPr>
        <w:pStyle w:val="Heading1"/>
        <w:spacing w:after="160" w:before="320"/>
      </w:pPr>
      <w:r>
        <w:t xml:space="preserve">9A. What this policy does not cover</w:t>
      </w:r>
    </w:p>
    <w:p>
      <w:pPr>
        <w:spacing w:after="140" w:line="276"/>
      </w:pPr>
      <w:r>
        <w:rPr>
          <w:sz w:val="22"/>
          <w:szCs w:val="22"/>
        </w:rPr>
        <w:t xml:space="preserve">Stated so that the boundary is explicit and so that a gap is not created by assumption:</w:t>
      </w:r>
    </w:p>
    <w:p>
      <w:pPr>
        <w:pStyle w:val="ListParagraph"/>
        <w:numPr>
          <w:ilvl w:val="0"/>
          <w:numId w:val="2"/>
        </w:numPr>
        <w:spacing w:after="80" w:line="276"/>
      </w:pPr>
      <w:r>
        <w:rPr>
          <w:sz w:val="22"/>
          <w:szCs w:val="22"/>
        </w:rPr>
        <w:t xml:space="preserve">Authentication parameters — lengths, factors, timeouts, thresholds. These are in AFT-ISMS-STD-02.</w:t>
      </w:r>
    </w:p>
    <w:p>
      <w:pPr>
        <w:pStyle w:val="ListParagraph"/>
        <w:numPr>
          <w:ilvl w:val="0"/>
          <w:numId w:val="2"/>
        </w:numPr>
        <w:spacing w:after="80" w:line="276"/>
      </w:pPr>
      <w:r>
        <w:rPr>
          <w:sz w:val="22"/>
          <w:szCs w:val="22"/>
        </w:rPr>
        <w:t xml:space="preserve">The classification of information and the handling rules attaching to each level. These are in AFT-ISMS-POL-04.</w:t>
      </w:r>
    </w:p>
    <w:p>
      <w:pPr>
        <w:pStyle w:val="ListParagraph"/>
        <w:numPr>
          <w:ilvl w:val="0"/>
          <w:numId w:val="2"/>
        </w:numPr>
        <w:spacing w:after="80" w:line="276"/>
      </w:pPr>
      <w:r>
        <w:rPr>
          <w:sz w:val="22"/>
          <w:szCs w:val="22"/>
        </w:rPr>
        <w:t xml:space="preserve">Incident severity, triage and notification obligations. These are in AFT-ISMS-POL-02.</w:t>
      </w:r>
    </w:p>
    <w:p>
      <w:pPr>
        <w:pStyle w:val="ListParagraph"/>
        <w:numPr>
          <w:ilvl w:val="0"/>
          <w:numId w:val="2"/>
        </w:numPr>
        <w:spacing w:after="80" w:line="276"/>
      </w:pPr>
      <w:r>
        <w:rPr>
          <w:sz w:val="22"/>
          <w:szCs w:val="22"/>
        </w:rPr>
        <w:t xml:space="preserve">The financial crime programme itself — customer due diligence, transaction monitoring, sanctions screening operations and reporting procedure. This policy states the worker’s obligations where they touch company systems; the programme is governed separately by Legal and Compliance.</w:t>
      </w:r>
    </w:p>
    <w:p>
      <w:pPr>
        <w:pStyle w:val="ListParagraph"/>
        <w:numPr>
          <w:ilvl w:val="0"/>
          <w:numId w:val="2"/>
        </w:numPr>
        <w:spacing w:after="80" w:line="276"/>
      </w:pPr>
      <w:r>
        <w:rPr>
          <w:sz w:val="22"/>
          <w:szCs w:val="22"/>
        </w:rPr>
        <w:t xml:space="preserve">Conduct obligations arising from employment that are not connected to information systems. These are in the employee handbook.</w:t>
      </w:r>
    </w:p>
    <w:p>
      <w:pPr>
        <w:pStyle w:val="Heading1"/>
        <w:spacing w:after="160" w:before="320"/>
      </w:pPr>
      <w:r>
        <w:t xml:space="preserve">10. Related documents</w:t>
      </w:r>
    </w:p>
    <w:p>
      <w:pPr>
        <w:pStyle w:val="ListParagraph"/>
        <w:numPr>
          <w:ilvl w:val="0"/>
          <w:numId w:val="2"/>
        </w:numPr>
        <w:spacing w:after="80" w:line="276"/>
      </w:pPr>
      <w:r>
        <w:rPr>
          <w:sz w:val="22"/>
          <w:szCs w:val="22"/>
        </w:rPr>
        <w:t xml:space="preserve">AFT-ISMS-POL-02 — Information Security Incident Response Policy</w:t>
      </w:r>
    </w:p>
    <w:p>
      <w:pPr>
        <w:pStyle w:val="ListParagraph"/>
        <w:numPr>
          <w:ilvl w:val="0"/>
          <w:numId w:val="2"/>
        </w:numPr>
        <w:spacing w:after="80" w:line="276"/>
      </w:pPr>
      <w:r>
        <w:rPr>
          <w:sz w:val="22"/>
          <w:szCs w:val="22"/>
        </w:rPr>
        <w:t xml:space="preserve">AFT-ISMS-POL-03 — Access Control Policy</w:t>
      </w:r>
    </w:p>
    <w:p>
      <w:pPr>
        <w:pStyle w:val="ListParagraph"/>
        <w:numPr>
          <w:ilvl w:val="0"/>
          <w:numId w:val="2"/>
        </w:numPr>
        <w:spacing w:after="80" w:line="276"/>
      </w:pPr>
      <w:r>
        <w:rPr>
          <w:sz w:val="22"/>
          <w:szCs w:val="22"/>
        </w:rPr>
        <w:t xml:space="preserve">AFT-ISMS-POL-04 — Data Classification and Handling Policy</w:t>
      </w:r>
    </w:p>
    <w:p>
      <w:pPr>
        <w:pStyle w:val="ListParagraph"/>
        <w:numPr>
          <w:ilvl w:val="0"/>
          <w:numId w:val="2"/>
        </w:numPr>
        <w:spacing w:after="80" w:line="276"/>
      </w:pPr>
      <w:r>
        <w:rPr>
          <w:sz w:val="22"/>
          <w:szCs w:val="22"/>
        </w:rPr>
        <w:t xml:space="preserve">AFT-ISMS-POL-09 — Third-Party Risk Management Policy</w:t>
      </w:r>
    </w:p>
    <w:p>
      <w:pPr>
        <w:pStyle w:val="ListParagraph"/>
        <w:numPr>
          <w:ilvl w:val="0"/>
          <w:numId w:val="2"/>
        </w:numPr>
        <w:spacing w:after="80" w:line="276"/>
      </w:pPr>
      <w:r>
        <w:rPr>
          <w:sz w:val="22"/>
          <w:szCs w:val="22"/>
        </w:rPr>
        <w:t xml:space="preserve">AFT-ISMS-STD-02 — Authentication and Credential Standard</w:t>
      </w:r>
    </w:p>
    <w:p>
      <w:pPr>
        <w:pStyle w:val="ListParagraph"/>
        <w:numPr>
          <w:ilvl w:val="0"/>
          <w:numId w:val="2"/>
        </w:numPr>
        <w:spacing w:after="80" w:line="276"/>
      </w:pPr>
      <w:r>
        <w:rPr>
          <w:sz w:val="22"/>
          <w:szCs w:val="22"/>
        </w:rPr>
        <w:t xml:space="preserve">AFT-ISMS-STD-04 — Bring Your Own Device Standard</w:t>
      </w:r>
    </w:p>
    <w:p>
      <w:pPr>
        <w:pStyle w:val="ListParagraph"/>
        <w:numPr>
          <w:ilvl w:val="0"/>
          <w:numId w:val="2"/>
        </w:numPr>
        <w:spacing w:after="80" w:line="276"/>
      </w:pPr>
      <w:r>
        <w:rPr>
          <w:sz w:val="22"/>
          <w:szCs w:val="22"/>
        </w:rPr>
        <w:t xml:space="preserve">AFT-ISMS-STD-11 — Approved Tooling Register</w:t>
      </w:r>
    </w:p>
    <w:p>
      <w:pPr>
        <w:pStyle w:val="ListParagraph"/>
        <w:numPr>
          <w:ilvl w:val="0"/>
          <w:numId w:val="2"/>
        </w:numPr>
        <w:spacing w:after="80" w:line="276"/>
      </w:pPr>
      <w:r>
        <w:rPr>
          <w:sz w:val="22"/>
          <w:szCs w:val="22"/>
        </w:rPr>
        <w:t xml:space="preserve">AFT-HR-POL-02 — Disciplinary Procedure</w:t>
      </w:r>
    </w:p>
    <w:p>
      <w:pPr>
        <w:pStyle w:val="ListParagraph"/>
        <w:numPr>
          <w:ilvl w:val="0"/>
          <w:numId w:val="2"/>
        </w:numPr>
        <w:spacing w:after="80" w:line="276"/>
      </w:pPr>
      <w:r>
        <w:rPr>
          <w:sz w:val="22"/>
          <w:szCs w:val="22"/>
        </w:rPr>
        <w:t xml:space="preserve">AFT-IG-SCH-01 — Records Retention Schedule</w:t>
      </w:r>
    </w:p>
    <w:p>
      <w:pPr>
        <w:pStyle w:val="ListParagraph"/>
        <w:numPr>
          <w:ilvl w:val="0"/>
          <w:numId w:val="2"/>
        </w:numPr>
        <w:spacing w:after="80" w:line="276"/>
      </w:pPr>
      <w:r>
        <w:rPr>
          <w:sz w:val="22"/>
          <w:szCs w:val="22"/>
        </w:rPr>
        <w:t xml:space="preserve">AFT-LEG-POL-01 — Data Protection Policy</w:t>
      </w:r>
    </w:p>
    <w:p>
      <w:pPr>
        <w:pStyle w:val="Heading1"/>
        <w:spacing w:after="160" w:before="320"/>
      </w:pPr>
      <w:r>
        <w:t xml:space="preserve">11. Standards mapping</w:t>
      </w:r>
    </w:p>
    <w:p>
      <w:pPr>
        <w:spacing w:after="140" w:line="276"/>
      </w:pPr>
      <w:r>
        <w:rPr>
          <w:sz w:val="22"/>
          <w:szCs w:val="22"/>
        </w:rPr>
        <w:t xml:space="preserve">This policy supports the following controls. The mapping is maintained for audit traceability and is reconciled at each review.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360"/>
        <w:gridCol w:w="260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Framework</w:t>
            </w:r>
          </w:p>
        </w:tc>
        <w:tc>
          <w:tcPr>
            <w:tcW w:type="dxa" w:w="4360"/>
            <w:shd w:fill="E7EAF0" w:color="auto" w:val="clear"/>
            <w:tcMar>
              <w:top w:type="dxa" w:w="90"/>
              <w:left w:type="dxa" w:w="130"/>
              <w:bottom w:type="dxa" w:w="90"/>
              <w:right w:type="dxa" w:w="130"/>
            </w:tcMar>
          </w:tcPr>
          <w:p>
            <w:pPr>
              <w:spacing w:after="0" w:line="260"/>
            </w:pPr>
            <w:r>
              <w:rPr>
                <w:b/>
                <w:bCs/>
                <w:sz w:val="20"/>
                <w:szCs w:val="20"/>
              </w:rPr>
              <w:t xml:space="preserve">Reference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Control theme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A.5.10</w:t>
            </w:r>
          </w:p>
        </w:tc>
        <w:tc>
          <w:tcPr>
            <w:tcW w:type="dxa" w:w="2600"/>
            <w:tcMar>
              <w:top w:type="dxa" w:w="90"/>
              <w:left w:type="dxa" w:w="130"/>
              <w:bottom w:type="dxa" w:w="90"/>
              <w:right w:type="dxa" w:w="130"/>
            </w:tcMar>
          </w:tcPr>
          <w:p>
            <w:pPr>
              <w:spacing w:after="0" w:line="260"/>
            </w:pPr>
            <w:r>
              <w:rPr>
                <w:b w:val="false"/>
                <w:bCs w:val="false"/>
                <w:sz w:val="20"/>
                <w:szCs w:val="20"/>
              </w:rPr>
              <w:t xml:space="preserve">Acceptable use of information and other associated assets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A.5.11</w:t>
            </w:r>
          </w:p>
        </w:tc>
        <w:tc>
          <w:tcPr>
            <w:tcW w:type="dxa" w:w="2600"/>
            <w:tcMar>
              <w:top w:type="dxa" w:w="90"/>
              <w:left w:type="dxa" w:w="130"/>
              <w:bottom w:type="dxa" w:w="90"/>
              <w:right w:type="dxa" w:w="130"/>
            </w:tcMar>
          </w:tcPr>
          <w:p>
            <w:pPr>
              <w:spacing w:after="0" w:line="260"/>
            </w:pPr>
            <w:r>
              <w:rPr>
                <w:b w:val="false"/>
                <w:bCs w:val="false"/>
                <w:sz w:val="20"/>
                <w:szCs w:val="20"/>
              </w:rPr>
              <w:t xml:space="preserve">Return of assets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A.6.2, A.6.5</w:t>
            </w:r>
          </w:p>
        </w:tc>
        <w:tc>
          <w:tcPr>
            <w:tcW w:type="dxa" w:w="2600"/>
            <w:tcMar>
              <w:top w:type="dxa" w:w="90"/>
              <w:left w:type="dxa" w:w="130"/>
              <w:bottom w:type="dxa" w:w="90"/>
              <w:right w:type="dxa" w:w="130"/>
            </w:tcMar>
          </w:tcPr>
          <w:p>
            <w:pPr>
              <w:spacing w:after="0" w:line="260"/>
            </w:pPr>
            <w:r>
              <w:rPr>
                <w:b w:val="false"/>
                <w:bCs w:val="false"/>
                <w:sz w:val="20"/>
                <w:szCs w:val="20"/>
              </w:rPr>
              <w:t xml:space="preserve">Terms and conditions of employment; responsibilities after termination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A.8.1</w:t>
            </w:r>
          </w:p>
        </w:tc>
        <w:tc>
          <w:tcPr>
            <w:tcW w:type="dxa" w:w="2600"/>
            <w:tcMar>
              <w:top w:type="dxa" w:w="90"/>
              <w:left w:type="dxa" w:w="130"/>
              <w:bottom w:type="dxa" w:w="90"/>
              <w:right w:type="dxa" w:w="130"/>
            </w:tcMar>
          </w:tcPr>
          <w:p>
            <w:pPr>
              <w:spacing w:after="0" w:line="260"/>
            </w:pPr>
            <w:r>
              <w:rPr>
                <w:b w:val="false"/>
                <w:bCs w:val="false"/>
                <w:sz w:val="20"/>
                <w:szCs w:val="20"/>
              </w:rPr>
              <w:t xml:space="preserve">User endpoint devices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A.8.10, A.8.12</w:t>
            </w:r>
          </w:p>
        </w:tc>
        <w:tc>
          <w:tcPr>
            <w:tcW w:type="dxa" w:w="2600"/>
            <w:tcMar>
              <w:top w:type="dxa" w:w="90"/>
              <w:left w:type="dxa" w:w="130"/>
              <w:bottom w:type="dxa" w:w="90"/>
              <w:right w:type="dxa" w:w="130"/>
            </w:tcMar>
          </w:tcPr>
          <w:p>
            <w:pPr>
              <w:spacing w:after="0" w:line="260"/>
            </w:pPr>
            <w:r>
              <w:rPr>
                <w:b w:val="false"/>
                <w:bCs w:val="false"/>
                <w:sz w:val="20"/>
                <w:szCs w:val="20"/>
              </w:rPr>
              <w:t xml:space="preserve">Information deletion; data leakage prevention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A.8.15, A.8.16</w:t>
            </w:r>
          </w:p>
        </w:tc>
        <w:tc>
          <w:tcPr>
            <w:tcW w:type="dxa" w:w="2600"/>
            <w:tcMar>
              <w:top w:type="dxa" w:w="90"/>
              <w:left w:type="dxa" w:w="130"/>
              <w:bottom w:type="dxa" w:w="90"/>
              <w:right w:type="dxa" w:w="130"/>
            </w:tcMar>
          </w:tcPr>
          <w:p>
            <w:pPr>
              <w:spacing w:after="0" w:line="260"/>
            </w:pPr>
            <w:r>
              <w:rPr>
                <w:b w:val="false"/>
                <w:bCs w:val="false"/>
                <w:sz w:val="20"/>
                <w:szCs w:val="20"/>
              </w:rPr>
              <w:t xml:space="preserve">Logging; monitoring activities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NIST CSF 2.0</w:t>
            </w:r>
          </w:p>
        </w:tc>
        <w:tc>
          <w:tcPr>
            <w:tcW w:type="dxa" w:w="4360"/>
            <w:tcMar>
              <w:top w:type="dxa" w:w="90"/>
              <w:left w:type="dxa" w:w="130"/>
              <w:bottom w:type="dxa" w:w="90"/>
              <w:right w:type="dxa" w:w="130"/>
            </w:tcMar>
          </w:tcPr>
          <w:p>
            <w:pPr>
              <w:spacing w:after="0" w:line="260"/>
            </w:pPr>
            <w:r>
              <w:rPr>
                <w:b w:val="false"/>
                <w:bCs w:val="false"/>
                <w:sz w:val="20"/>
                <w:szCs w:val="20"/>
              </w:rPr>
              <w:t xml:space="preserve">PR.AA, PR.DS, GV.PO</w:t>
            </w:r>
          </w:p>
        </w:tc>
        <w:tc>
          <w:tcPr>
            <w:tcW w:type="dxa" w:w="2600"/>
            <w:tcMar>
              <w:top w:type="dxa" w:w="90"/>
              <w:left w:type="dxa" w:w="130"/>
              <w:bottom w:type="dxa" w:w="90"/>
              <w:right w:type="dxa" w:w="130"/>
            </w:tcMar>
          </w:tcPr>
          <w:p>
            <w:pPr>
              <w:spacing w:after="0" w:line="260"/>
            </w:pPr>
            <w:r>
              <w:rPr>
                <w:b w:val="false"/>
                <w:bCs w:val="false"/>
                <w:sz w:val="20"/>
                <w:szCs w:val="20"/>
              </w:rPr>
              <w:t xml:space="preserve">Identity and access; data security; policy</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PCI DSS v4.0</w:t>
            </w:r>
          </w:p>
        </w:tc>
        <w:tc>
          <w:tcPr>
            <w:tcW w:type="dxa" w:w="4360"/>
            <w:tcMar>
              <w:top w:type="dxa" w:w="90"/>
              <w:left w:type="dxa" w:w="130"/>
              <w:bottom w:type="dxa" w:w="90"/>
              <w:right w:type="dxa" w:w="130"/>
            </w:tcMar>
          </w:tcPr>
          <w:p>
            <w:pPr>
              <w:spacing w:after="0" w:line="260"/>
            </w:pPr>
            <w:r>
              <w:rPr>
                <w:b w:val="false"/>
                <w:bCs w:val="false"/>
                <w:sz w:val="20"/>
                <w:szCs w:val="20"/>
              </w:rPr>
              <w:t xml:space="preserve">Requirement 12.3, 12.6</w:t>
            </w:r>
          </w:p>
        </w:tc>
        <w:tc>
          <w:tcPr>
            <w:tcW w:type="dxa" w:w="2600"/>
            <w:tcMar>
              <w:top w:type="dxa" w:w="90"/>
              <w:left w:type="dxa" w:w="130"/>
              <w:bottom w:type="dxa" w:w="90"/>
              <w:right w:type="dxa" w:w="130"/>
            </w:tcMar>
          </w:tcPr>
          <w:p>
            <w:pPr>
              <w:spacing w:after="0" w:line="260"/>
            </w:pPr>
            <w:r>
              <w:rPr>
                <w:b w:val="false"/>
                <w:bCs w:val="false"/>
                <w:sz w:val="20"/>
                <w:szCs w:val="20"/>
              </w:rPr>
              <w:t xml:space="preserve">Acceptable use and security awareness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Bank Secrecy Act</w:t>
            </w:r>
          </w:p>
        </w:tc>
        <w:tc>
          <w:tcPr>
            <w:tcW w:type="dxa" w:w="4360"/>
            <w:tcMar>
              <w:top w:type="dxa" w:w="90"/>
              <w:left w:type="dxa" w:w="130"/>
              <w:bottom w:type="dxa" w:w="90"/>
              <w:right w:type="dxa" w:w="130"/>
            </w:tcMar>
          </w:tcPr>
          <w:p>
            <w:pPr>
              <w:spacing w:after="0" w:line="260"/>
            </w:pPr>
            <w:r>
              <w:rPr>
                <w:b w:val="false"/>
                <w:bCs w:val="false"/>
                <w:sz w:val="20"/>
                <w:szCs w:val="20"/>
              </w:rPr>
              <w:t xml:space="preserve">31 CFR Chapter X record-keeping</w:t>
            </w:r>
          </w:p>
        </w:tc>
        <w:tc>
          <w:tcPr>
            <w:tcW w:type="dxa" w:w="2600"/>
            <w:tcMar>
              <w:top w:type="dxa" w:w="90"/>
              <w:left w:type="dxa" w:w="130"/>
              <w:bottom w:type="dxa" w:w="90"/>
              <w:right w:type="dxa" w:w="130"/>
            </w:tcMar>
          </w:tcPr>
          <w:p>
            <w:pPr>
              <w:spacing w:after="0" w:line="260"/>
            </w:pPr>
            <w:r>
              <w:rPr>
                <w:b w:val="false"/>
                <w:bCs w:val="false"/>
                <w:sz w:val="20"/>
                <w:szCs w:val="20"/>
              </w:rPr>
              <w:t xml:space="preserve">Retention of business records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OFAC</w:t>
            </w:r>
          </w:p>
        </w:tc>
        <w:tc>
          <w:tcPr>
            <w:tcW w:type="dxa" w:w="4360"/>
            <w:tcMar>
              <w:top w:type="dxa" w:w="90"/>
              <w:left w:type="dxa" w:w="130"/>
              <w:bottom w:type="dxa" w:w="90"/>
              <w:right w:type="dxa" w:w="130"/>
            </w:tcMar>
          </w:tcPr>
          <w:p>
            <w:pPr>
              <w:spacing w:after="0" w:line="260"/>
            </w:pPr>
            <w:r>
              <w:rPr>
                <w:b w:val="false"/>
                <w:bCs w:val="false"/>
                <w:sz w:val="20"/>
                <w:szCs w:val="20"/>
              </w:rPr>
              <w:t xml:space="preserve">Sanctions programmes, strict liability</w:t>
            </w:r>
          </w:p>
        </w:tc>
        <w:tc>
          <w:tcPr>
            <w:tcW w:type="dxa" w:w="2600"/>
            <w:tcMar>
              <w:top w:type="dxa" w:w="90"/>
              <w:left w:type="dxa" w:w="130"/>
              <w:bottom w:type="dxa" w:w="90"/>
              <w:right w:type="dxa" w:w="130"/>
            </w:tcMar>
          </w:tcPr>
          <w:p>
            <w:pPr>
              <w:spacing w:after="0" w:line="260"/>
            </w:pPr>
            <w:r>
              <w:rPr>
                <w:b w:val="false"/>
                <w:bCs w:val="false"/>
                <w:sz w:val="20"/>
                <w:szCs w:val="20"/>
              </w:rPr>
              <w:t xml:space="preserve">Prohibition on facilitating sanctioned dealings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FCA (UK entity)</w:t>
            </w:r>
          </w:p>
        </w:tc>
        <w:tc>
          <w:tcPr>
            <w:tcW w:type="dxa" w:w="4360"/>
            <w:tcMar>
              <w:top w:type="dxa" w:w="90"/>
              <w:left w:type="dxa" w:w="130"/>
              <w:bottom w:type="dxa" w:w="90"/>
              <w:right w:type="dxa" w:w="130"/>
            </w:tcMar>
          </w:tcPr>
          <w:p>
            <w:pPr>
              <w:spacing w:after="0" w:line="260"/>
            </w:pPr>
            <w:r>
              <w:rPr>
                <w:b w:val="false"/>
                <w:bCs w:val="false"/>
                <w:sz w:val="20"/>
                <w:szCs w:val="20"/>
              </w:rPr>
              <w:t xml:space="preserve">SYSC 10A record-keeping; SM&amp;CR</w:t>
            </w:r>
          </w:p>
        </w:tc>
        <w:tc>
          <w:tcPr>
            <w:tcW w:type="dxa" w:w="2600"/>
            <w:tcMar>
              <w:top w:type="dxa" w:w="90"/>
              <w:left w:type="dxa" w:w="130"/>
              <w:bottom w:type="dxa" w:w="90"/>
              <w:right w:type="dxa" w:w="130"/>
            </w:tcMar>
          </w:tcPr>
          <w:p>
            <w:pPr>
              <w:spacing w:after="0" w:line="260"/>
            </w:pPr>
            <w:r>
              <w:rPr>
                <w:b w:val="false"/>
                <w:bCs w:val="false"/>
                <w:sz w:val="20"/>
                <w:szCs w:val="20"/>
              </w:rPr>
              <w:t xml:space="preserve">Recording of regulated-activity communications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UK GDPR / DPA 2018</w:t>
            </w:r>
          </w:p>
        </w:tc>
        <w:tc>
          <w:tcPr>
            <w:tcW w:type="dxa" w:w="4360"/>
            <w:tcMar>
              <w:top w:type="dxa" w:w="90"/>
              <w:left w:type="dxa" w:w="130"/>
              <w:bottom w:type="dxa" w:w="90"/>
              <w:right w:type="dxa" w:w="130"/>
            </w:tcMar>
          </w:tcPr>
          <w:p>
            <w:pPr>
              <w:spacing w:after="0" w:line="260"/>
            </w:pPr>
            <w:r>
              <w:rPr>
                <w:b w:val="false"/>
                <w:bCs w:val="false"/>
                <w:sz w:val="20"/>
                <w:szCs w:val="20"/>
              </w:rPr>
              <w:t xml:space="preserve">Articles 5, 6(1)(f), 88; ICO monitoring guidance</w:t>
            </w:r>
          </w:p>
        </w:tc>
        <w:tc>
          <w:tcPr>
            <w:tcW w:type="dxa" w:w="2600"/>
            <w:tcMar>
              <w:top w:type="dxa" w:w="90"/>
              <w:left w:type="dxa" w:w="130"/>
              <w:bottom w:type="dxa" w:w="90"/>
              <w:right w:type="dxa" w:w="130"/>
            </w:tcMar>
          </w:tcPr>
          <w:p>
            <w:pPr>
              <w:spacing w:after="0" w:line="260"/>
            </w:pPr>
            <w:r>
              <w:rPr>
                <w:b w:val="false"/>
                <w:bCs w:val="false"/>
                <w:sz w:val="20"/>
                <w:szCs w:val="20"/>
              </w:rPr>
              <w:t xml:space="preserve">Lawful basis and proportionality of workplace monitoring</w:t>
            </w:r>
          </w:p>
        </w:tc>
      </w:tr>
    </w:tbl>
    <w:p>
      <w:pPr>
        <w:pStyle w:val="Heading1"/>
        <w:spacing w:after="160" w:before="320"/>
      </w:pPr>
      <w:r>
        <w:t xml:space="preserve">11A. Approval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200"/>
        <w:gridCol w:w="2200"/>
        <w:gridCol w:w="156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Role</w:t>
            </w:r>
          </w:p>
        </w:tc>
        <w:tc>
          <w:tcPr>
            <w:tcW w:type="dxa" w:w="3200"/>
            <w:shd w:fill="E7EAF0" w:color="auto" w:val="clear"/>
            <w:tcMar>
              <w:top w:type="dxa" w:w="90"/>
              <w:left w:type="dxa" w:w="130"/>
              <w:bottom w:type="dxa" w:w="90"/>
              <w:right w:type="dxa" w:w="130"/>
            </w:tcMar>
          </w:tcPr>
          <w:p>
            <w:pPr>
              <w:spacing w:after="0" w:line="260"/>
            </w:pPr>
            <w:r>
              <w:rPr>
                <w:b/>
                <w:bCs/>
                <w:sz w:val="20"/>
                <w:szCs w:val="20"/>
              </w:rPr>
              <w:t xml:space="preserve">Name</w:t>
            </w:r>
          </w:p>
        </w:tc>
        <w:tc>
          <w:tcPr>
            <w:tcW w:type="dxa" w:w="2200"/>
            <w:shd w:fill="E7EAF0" w:color="auto" w:val="clear"/>
            <w:tcMar>
              <w:top w:type="dxa" w:w="90"/>
              <w:left w:type="dxa" w:w="130"/>
              <w:bottom w:type="dxa" w:w="90"/>
              <w:right w:type="dxa" w:w="130"/>
            </w:tcMar>
          </w:tcPr>
          <w:p>
            <w:pPr>
              <w:spacing w:after="0" w:line="260"/>
            </w:pPr>
            <w:r>
              <w:rPr>
                <w:b/>
                <w:bCs/>
                <w:sz w:val="20"/>
                <w:szCs w:val="20"/>
              </w:rPr>
              <w:t xml:space="preserve">Signature</w:t>
            </w:r>
          </w:p>
        </w:tc>
        <w:tc>
          <w:tcPr>
            <w:tcW w:type="dxa" w:w="1560"/>
            <w:shd w:fill="E7EAF0" w:color="auto" w:val="clear"/>
            <w:tcMar>
              <w:top w:type="dxa" w:w="90"/>
              <w:left w:type="dxa" w:w="130"/>
              <w:bottom w:type="dxa" w:w="90"/>
              <w:right w:type="dxa" w:w="130"/>
            </w:tcMar>
          </w:tcPr>
          <w:p>
            <w:pPr>
              <w:spacing w:after="0" w:line="260"/>
            </w:pPr>
            <w:r>
              <w:rPr>
                <w:b/>
                <w:bCs/>
                <w:sz w:val="20"/>
                <w:szCs w:val="20"/>
              </w:rPr>
              <w:t xml:space="preserve">Date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Prepared by</w:t>
            </w:r>
          </w:p>
        </w:tc>
        <w:tc>
          <w:tcPr>
            <w:tcW w:type="dxa" w:w="3200"/>
            <w:tcMar>
              <w:top w:type="dxa" w:w="90"/>
              <w:left w:type="dxa" w:w="130"/>
              <w:bottom w:type="dxa" w:w="90"/>
              <w:right w:type="dxa" w:w="130"/>
            </w:tcMar>
          </w:tcPr>
          <w:p>
            <w:pPr>
              <w:spacing w:after="0" w:line="260"/>
            </w:pPr>
            <w:r>
              <w:rPr>
                <w:b w:val="false"/>
                <w:bCs w:val="false"/>
                <w:sz w:val="20"/>
                <w:szCs w:val="20"/>
              </w:rPr>
              <w:t xml:space="preserve">Chidi Eze, Head of Security Governance</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Legal review</w:t>
            </w:r>
          </w:p>
        </w:tc>
        <w:tc>
          <w:tcPr>
            <w:tcW w:type="dxa" w:w="3200"/>
            <w:tcMar>
              <w:top w:type="dxa" w:w="90"/>
              <w:left w:type="dxa" w:w="130"/>
              <w:bottom w:type="dxa" w:w="90"/>
              <w:right w:type="dxa" w:w="130"/>
            </w:tcMar>
          </w:tcPr>
          <w:p>
            <w:pPr>
              <w:spacing w:after="0" w:line="260"/>
            </w:pPr>
            <w:r>
              <w:rPr>
                <w:b w:val="false"/>
                <w:bCs w:val="false"/>
                <w:sz w:val="20"/>
                <w:szCs w:val="20"/>
              </w:rPr>
              <w:t xml:space="preserve">Jonathan Reyes, General Counsel — sections 3, 4 and 5.9</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Employment law review</w:t>
            </w:r>
          </w:p>
        </w:tc>
        <w:tc>
          <w:tcPr>
            <w:tcW w:type="dxa" w:w="3200"/>
            <w:tcMar>
              <w:top w:type="dxa" w:w="90"/>
              <w:left w:type="dxa" w:w="130"/>
              <w:bottom w:type="dxa" w:w="90"/>
              <w:right w:type="dxa" w:w="130"/>
            </w:tcMar>
          </w:tcPr>
          <w:p>
            <w:pPr>
              <w:spacing w:after="0" w:line="260"/>
            </w:pPr>
            <w:r>
              <w:rPr>
                <w:b w:val="false"/>
                <w:bCs w:val="false"/>
                <w:sz w:val="20"/>
                <w:szCs w:val="20"/>
              </w:rPr>
              <w:t xml:space="preserve">Grace Lindberg, VP People Operations — section 5.9</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Reviewed by</w:t>
            </w:r>
          </w:p>
        </w:tc>
        <w:tc>
          <w:tcPr>
            <w:tcW w:type="dxa" w:w="3200"/>
            <w:tcMar>
              <w:top w:type="dxa" w:w="90"/>
              <w:left w:type="dxa" w:w="130"/>
              <w:bottom w:type="dxa" w:w="90"/>
              <w:right w:type="dxa" w:w="130"/>
            </w:tcMar>
          </w:tcPr>
          <w:p>
            <w:pPr>
              <w:spacing w:after="0" w:line="260"/>
            </w:pPr>
            <w:r>
              <w:rPr>
                <w:b w:val="false"/>
                <w:bCs w:val="false"/>
                <w:sz w:val="20"/>
                <w:szCs w:val="20"/>
              </w:rPr>
              <w:t xml:space="preserve">Helen Achebe-Ward, Chief Information Security Officer</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3200"/>
            <w:tcMar>
              <w:top w:type="dxa" w:w="90"/>
              <w:left w:type="dxa" w:w="130"/>
              <w:bottom w:type="dxa" w:w="90"/>
              <w:right w:type="dxa" w:w="130"/>
            </w:tcMar>
          </w:tcPr>
          <w:p>
            <w:pPr>
              <w:spacing w:after="0" w:line="260"/>
            </w:pPr>
            <w:r>
              <w:rPr>
                <w:b w:val="false"/>
                <w:bCs w:val="false"/>
                <w:sz w:val="20"/>
                <w:szCs w:val="20"/>
              </w:rPr>
              <w:t xml:space="preserve">Executive Risk Committee</w:t>
            </w:r>
          </w:p>
        </w:tc>
        <w:tc>
          <w:tcPr>
            <w:tcW w:type="dxa" w:w="2200"/>
            <w:tcMar>
              <w:top w:type="dxa" w:w="90"/>
              <w:left w:type="dxa" w:w="130"/>
              <w:bottom w:type="dxa" w:w="90"/>
              <w:right w:type="dxa" w:w="130"/>
            </w:tcMar>
          </w:tcPr>
          <w:p>
            <w:pPr>
              <w:spacing w:after="0" w:line="260"/>
            </w:pPr>
            <w:r>
              <w:rPr>
                <w:b w:val="false"/>
                <w:bCs w:val="false"/>
                <w:sz w:val="20"/>
                <w:szCs w:val="20"/>
              </w:rPr>
              <w:t xml:space="preserve"/>
            </w:r>
          </w:p>
        </w:tc>
        <w:tc>
          <w:tcPr>
            <w:tcW w:type="dxa" w:w="1560"/>
            <w:tcMar>
              <w:top w:type="dxa" w:w="90"/>
              <w:left w:type="dxa" w:w="130"/>
              <w:bottom w:type="dxa" w:w="90"/>
              <w:right w:type="dxa" w:w="130"/>
            </w:tcMar>
          </w:tcPr>
          <w:p>
            <w:pPr>
              <w:spacing w:after="0" w:line="260"/>
            </w:pPr>
            <w:r>
              <w:rPr>
                <w:b w:val="false"/>
                <w:bCs w:val="false"/>
                <w:sz w:val="20"/>
                <w:szCs w:val="20"/>
              </w:rPr>
              <w:t xml:space="preserve"/>
            </w:r>
          </w:p>
        </w:tc>
      </w:tr>
    </w:tbl>
    <w:p>
      <w:pPr>
        <w:spacing w:after="140" w:line="276"/>
      </w:pPr>
      <w:r>
        <w:rPr>
          <w:sz w:val="22"/>
          <w:szCs w:val="22"/>
        </w:rPr>
        <w:t xml:space="preserve">UNAPPROVED. This version is issued for review and is not yet in force. Version 2.1 remains the operative policy until this block is executed. Sections 3, 4 and 5.9 require General Counsel sign-off before approval, and section 5.9 additionally requires employment law confirmation for both jurisdictions.</w:t>
      </w:r>
    </w:p>
    <w:p>
      <w:pPr>
        <w:pStyle w:val="Heading1"/>
        <w:spacing w:after="160" w:before="320"/>
      </w:pPr>
      <w:r>
        <w:t xml:space="preserve">12. Revision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900"/>
        <w:gridCol w:w="2600"/>
        <w:gridCol w:w="3660"/>
      </w:tblGrid>
      <w:tr>
        <w:trPr>
          <w:tblHeader/>
        </w:trPr>
        <w:tc>
          <w:tcPr>
            <w:tcW w:type="dxa" w:w="1200"/>
            <w:shd w:fill="E7EAF0" w:color="auto" w:val="clear"/>
            <w:tcMar>
              <w:top w:type="dxa" w:w="90"/>
              <w:left w:type="dxa" w:w="130"/>
              <w:bottom w:type="dxa" w:w="90"/>
              <w:right w:type="dxa" w:w="130"/>
            </w:tcMar>
          </w:tcPr>
          <w:p>
            <w:pPr>
              <w:spacing w:after="0" w:line="260"/>
            </w:pPr>
            <w:r>
              <w:rPr>
                <w:b/>
                <w:bCs/>
                <w:sz w:val="20"/>
                <w:szCs w:val="20"/>
              </w:rPr>
              <w:t xml:space="preserve">Version</w:t>
            </w:r>
          </w:p>
        </w:tc>
        <w:tc>
          <w:tcPr>
            <w:tcW w:type="dxa" w:w="1900"/>
            <w:shd w:fill="E7EAF0" w:color="auto" w:val="clear"/>
            <w:tcMar>
              <w:top w:type="dxa" w:w="90"/>
              <w:left w:type="dxa" w:w="130"/>
              <w:bottom w:type="dxa" w:w="90"/>
              <w:right w:type="dxa" w:w="130"/>
            </w:tcMar>
          </w:tcPr>
          <w:p>
            <w:pPr>
              <w:spacing w:after="0" w:line="260"/>
            </w:pPr>
            <w:r>
              <w:rPr>
                <w:b/>
                <w:bCs/>
                <w:sz w:val="20"/>
                <w:szCs w:val="20"/>
              </w:rPr>
              <w:t xml:space="preserve">Date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Author</w:t>
            </w:r>
          </w:p>
        </w:tc>
        <w:tc>
          <w:tcPr>
            <w:tcW w:type="dxa" w:w="3660"/>
            <w:shd w:fill="E7EAF0" w:color="auto" w:val="clear"/>
            <w:tcMar>
              <w:top w:type="dxa" w:w="90"/>
              <w:left w:type="dxa" w:w="130"/>
              <w:bottom w:type="dxa" w:w="90"/>
              <w:right w:type="dxa" w:w="130"/>
            </w:tcMar>
          </w:tcPr>
          <w:p>
            <w:pPr>
              <w:spacing w:after="0" w:line="260"/>
            </w:pPr>
            <w:r>
              <w:rPr>
                <w:b/>
                <w:bCs/>
                <w:sz w:val="20"/>
                <w:szCs w:val="20"/>
              </w:rPr>
              <w:t xml:space="preserve">Summary of change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1.0</w:t>
            </w:r>
          </w:p>
        </w:tc>
        <w:tc>
          <w:tcPr>
            <w:tcW w:type="dxa" w:w="1900"/>
            <w:tcMar>
              <w:top w:type="dxa" w:w="90"/>
              <w:left w:type="dxa" w:w="130"/>
              <w:bottom w:type="dxa" w:w="90"/>
              <w:right w:type="dxa" w:w="130"/>
            </w:tcMar>
          </w:tcPr>
          <w:p>
            <w:pPr>
              <w:spacing w:after="0" w:line="260"/>
            </w:pPr>
            <w:r>
              <w:rPr>
                <w:b w:val="false"/>
                <w:bCs w:val="false"/>
                <w:sz w:val="20"/>
                <w:szCs w:val="20"/>
              </w:rPr>
              <w:t xml:space="preserve">14 March 2023</w:t>
            </w:r>
          </w:p>
        </w:tc>
        <w:tc>
          <w:tcPr>
            <w:tcW w:type="dxa" w:w="2600"/>
            <w:tcMar>
              <w:top w:type="dxa" w:w="90"/>
              <w:left w:type="dxa" w:w="130"/>
              <w:bottom w:type="dxa" w:w="90"/>
              <w:right w:type="dxa" w:w="130"/>
            </w:tcMar>
          </w:tcPr>
          <w:p>
            <w:pPr>
              <w:spacing w:after="0" w:line="260"/>
            </w:pPr>
            <w:r>
              <w:rPr>
                <w:b w:val="false"/>
                <w:bCs w:val="false"/>
                <w:sz w:val="20"/>
                <w:szCs w:val="20"/>
              </w:rPr>
              <w:t xml:space="preserve">Head of Security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Initial issue.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2.0</w:t>
            </w:r>
          </w:p>
        </w:tc>
        <w:tc>
          <w:tcPr>
            <w:tcW w:type="dxa" w:w="1900"/>
            <w:tcMar>
              <w:top w:type="dxa" w:w="90"/>
              <w:left w:type="dxa" w:w="130"/>
              <w:bottom w:type="dxa" w:w="90"/>
              <w:right w:type="dxa" w:w="130"/>
            </w:tcMar>
          </w:tcPr>
          <w:p>
            <w:pPr>
              <w:spacing w:after="0" w:line="260"/>
            </w:pPr>
            <w:r>
              <w:rPr>
                <w:b w:val="false"/>
                <w:bCs w:val="false"/>
                <w:sz w:val="20"/>
                <w:szCs w:val="20"/>
              </w:rPr>
              <w:t xml:space="preserve">2 September 2025</w:t>
            </w:r>
          </w:p>
        </w:tc>
        <w:tc>
          <w:tcPr>
            <w:tcW w:type="dxa" w:w="2600"/>
            <w:tcMar>
              <w:top w:type="dxa" w:w="90"/>
              <w:left w:type="dxa" w:w="130"/>
              <w:bottom w:type="dxa" w:w="90"/>
              <w:right w:type="dxa" w:w="130"/>
            </w:tcMar>
          </w:tcPr>
          <w:p>
            <w:pPr>
              <w:spacing w:after="0" w:line="260"/>
            </w:pPr>
            <w:r>
              <w:rPr>
                <w:b w:val="false"/>
                <w:bCs w:val="false"/>
                <w:sz w:val="20"/>
                <w:szCs w:val="20"/>
              </w:rPr>
              <w:t xml:space="preserve">Head of Security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Realigned to ISO/IEC 27001:2022 Annex A; added remote working provisions.</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2.1</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Chief Information Security Officer</w:t>
            </w:r>
          </w:p>
        </w:tc>
        <w:tc>
          <w:tcPr>
            <w:tcW w:type="dxa" w:w="3660"/>
            <w:tcMar>
              <w:top w:type="dxa" w:w="90"/>
              <w:left w:type="dxa" w:w="130"/>
              <w:bottom w:type="dxa" w:w="90"/>
              <w:right w:type="dxa" w:w="130"/>
            </w:tcMar>
          </w:tcPr>
          <w:p>
            <w:pPr>
              <w:spacing w:after="0" w:line="260"/>
            </w:pPr>
            <w:r>
              <w:rPr>
                <w:b w:val="false"/>
                <w:bCs w:val="false"/>
                <w:sz w:val="20"/>
                <w:szCs w:val="20"/>
              </w:rPr>
              <w:t xml:space="preserve">Added generative artificial intelligence provisions (3.6); clarified monitoring lawful basis (3.9); revised exception thresholds.</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3.0</w:t>
            </w:r>
          </w:p>
        </w:tc>
        <w:tc>
          <w:tcPr>
            <w:tcW w:type="dxa" w:w="1900"/>
            <w:tcMar>
              <w:top w:type="dxa" w:w="90"/>
              <w:left w:type="dxa" w:w="130"/>
              <w:bottom w:type="dxa" w:w="90"/>
              <w:right w:type="dxa" w:w="130"/>
            </w:tcMar>
          </w:tcPr>
          <w:p>
            <w:pPr>
              <w:spacing w:after="0" w:line="260"/>
            </w:pPr>
            <w:r>
              <w:rPr>
                <w:b w:val="false"/>
                <w:bCs w:val="false"/>
                <w:sz w:val="20"/>
                <w:szCs w:val="20"/>
              </w:rPr>
              <w:t xml:space="preserve">Draft, 9 September 2026</w:t>
            </w:r>
          </w:p>
        </w:tc>
        <w:tc>
          <w:tcPr>
            <w:tcW w:type="dxa" w:w="2600"/>
            <w:tcMar>
              <w:top w:type="dxa" w:w="90"/>
              <w:left w:type="dxa" w:w="130"/>
              <w:bottom w:type="dxa" w:w="90"/>
              <w:right w:type="dxa" w:w="130"/>
            </w:tcMar>
          </w:tcPr>
          <w:p>
            <w:pPr>
              <w:spacing w:after="0" w:line="260"/>
            </w:pPr>
            <w:r>
              <w:rPr>
                <w:b w:val="false"/>
                <w:bCs w:val="false"/>
                <w:sz w:val="20"/>
                <w:szCs w:val="20"/>
              </w:rPr>
              <w:t xml:space="preserve">Head of Security Governance</w:t>
            </w:r>
          </w:p>
        </w:tc>
        <w:tc>
          <w:tcPr>
            <w:tcW w:type="dxa" w:w="3660"/>
            <w:tcMar>
              <w:top w:type="dxa" w:w="90"/>
              <w:left w:type="dxa" w:w="130"/>
              <w:bottom w:type="dxa" w:w="90"/>
              <w:right w:type="dxa" w:w="130"/>
            </w:tcMar>
          </w:tcPr>
          <w:p>
            <w:pPr>
              <w:spacing w:after="0" w:line="260"/>
            </w:pPr>
            <w:r>
              <w:rPr>
                <w:b w:val="false"/>
                <w:bCs w:val="false"/>
                <w:sz w:val="20"/>
                <w:szCs w:val="20"/>
              </w:rPr>
              <w:t xml:space="preserve">Added section 3 recording the regulated-status obligations this policy gives effect to, and section 4 on business communications and record-keeping, which no previous version covered. Rewrote the monitoring section (5.9) with a jurisdictional split and binding limits on the use of monitoring output. Added accountability and record-keeping requirements for AI-assisted customer decisions, and identified the enterprise AI capability decision as open. Moved authentication parameters to STD-02. Added section 9A stating what the policy does not cover, and an approval block. Sections renumbered throughout.</w:t>
            </w:r>
          </w:p>
        </w:tc>
      </w:tr>
    </w:tbl>
    <w:sectPr>
      <w:headerReference w:type="default" r:id="rId7"/>
      <w:footerReference w:type="default" r:id="rId8"/>
      <w:pgSz w:w="12240" w:h="15840" w:orient="portrait"/>
      <w:pgMar w:top="1180" w:right="1440" w:bottom="11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60"/>
    </w:pPr>
    <w:r>
      <w:rPr>
        <w:color w:val="44546A"/>
        <w:sz w:val="16"/>
        <w:szCs w:val="16"/>
      </w:rPr>
      <w:t xml:space="preserve">AFT-ISMS-POL-01  ·  Internal</w:t>
    </w:r>
    <w:r>
      <w:rPr>
        <w:color w:val="44546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b/>
        <w:bCs/>
        <w:color w:val="44546A"/>
        <w:sz w:val="17"/>
        <w:szCs w:val="17"/>
      </w:rPr>
      <w:t xml:space="preserve">Aldridge Financial Technologies</w:t>
    </w:r>
    <w:r>
      <w:rPr>
        <w:color w:val="44546A"/>
        <w:sz w:val="17"/>
        <w:szCs w:val="17"/>
      </w:rPr>
      <w:t xml:space="preserve">	Acceptable Use Policy</w:t>
    </w:r>
  </w:p>
  <w:p>
    <w:pPr>
      <w:pBdr>
        <w:bottom w:val="single" w:color="BFBFBF" w:sz="6"/>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44546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Acceptable Use Policy</dc:title>
  <dc:creator>Aldridge Financial Technologies — Information Security</dc:creator>
  <dc:description>Information Security Management System — Tier 2 Policy</dc:description>
  <cp:lastModifiedBy>Un-named</cp:lastModifiedBy>
  <cp:revision>1</cp:revision>
  <dcterms:created xsi:type="dcterms:W3CDTF">2026-09-10T01:24:54.636Z</dcterms:created>
  <dcterms:modified xsi:type="dcterms:W3CDTF">2026-09-10T01:24:54.647Z</dcterms:modified>
</cp:coreProperties>
</file>

<file path=docProps/custom.xml><?xml version="1.0" encoding="utf-8"?>
<Properties xmlns="http://schemas.openxmlformats.org/officeDocument/2006/custom-properties" xmlns:vt="http://schemas.openxmlformats.org/officeDocument/2006/docPropsVTypes"/>
</file>