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pacing w:val="24"/>
          <w:sz w:val="19"/>
          <w:szCs w:val="19"/>
        </w:rPr>
        <w:t xml:space="preserve">ALDRIDGE FINANCIAL TECHNOLOGIES</w:t>
      </w:r>
    </w:p>
    <w:p>
      <w:pPr>
        <w:spacing w:after="60"/>
      </w:pPr>
      <w:r>
        <w:rPr>
          <w:b/>
          <w:bCs/>
          <w:color w:val="1F3864"/>
          <w:sz w:val="44"/>
          <w:szCs w:val="44"/>
        </w:rPr>
        <w:t xml:space="preserve">Access Control Policy</w:t>
      </w:r>
    </w:p>
    <w:p>
      <w:pPr>
        <w:pBdr>
          <w:bottom w:val="single" w:color="1F3864" w:sz="12"/>
        </w:pBdr>
        <w:spacing w:after="240"/>
      </w:pPr>
      <w:r>
        <w:rPr>
          <w:i/>
          <w:iCs/>
          <w:color w:val="44546A"/>
          <w:sz w:val="22"/>
          <w:szCs w:val="22"/>
        </w:rPr>
        <w:t xml:space="preserve">Information Security Management System — Tier 2 Policy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80"/>
        <w:gridCol w:w="2200"/>
        <w:gridCol w:w="2480"/>
      </w:tblGrid>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reference</w:t>
            </w:r>
          </w:p>
        </w:tc>
        <w:tc>
          <w:tcPr>
            <w:tcW w:type="dxa" w:w="2480"/>
            <w:tcMar>
              <w:top w:type="dxa" w:w="90"/>
              <w:left w:type="dxa" w:w="130"/>
              <w:bottom w:type="dxa" w:w="90"/>
              <w:right w:type="dxa" w:w="130"/>
            </w:tcMar>
          </w:tcPr>
          <w:p>
            <w:pPr>
              <w:spacing w:after="0" w:line="260"/>
            </w:pPr>
            <w:r>
              <w:rPr>
                <w:b w:val="false"/>
                <w:bCs w:val="false"/>
                <w:sz w:val="20"/>
                <w:szCs w:val="20"/>
              </w:rPr>
              <w:t xml:space="preserve">AFT-ISMS-POL-03</w:t>
            </w:r>
          </w:p>
        </w:tc>
        <w:tc>
          <w:tcPr>
            <w:tcW w:type="dxa" w:w="2200"/>
            <w:tcMar>
              <w:top w:type="dxa" w:w="90"/>
              <w:left w:type="dxa" w:w="130"/>
              <w:bottom w:type="dxa" w:w="90"/>
              <w:right w:type="dxa" w:w="130"/>
            </w:tcMar>
          </w:tcPr>
          <w:p>
            <w:pPr>
              <w:spacing w:after="0" w:line="260"/>
            </w:pPr>
            <w:r>
              <w:rPr>
                <w:b w:val="false"/>
                <w:bCs w:val="false"/>
                <w:sz w:val="20"/>
                <w:szCs w:val="20"/>
              </w:rPr>
              <w:t xml:space="preserve">Version</w:t>
            </w:r>
          </w:p>
        </w:tc>
        <w:tc>
          <w:tcPr>
            <w:tcW w:type="dxa" w:w="2480"/>
            <w:tcMar>
              <w:top w:type="dxa" w:w="90"/>
              <w:left w:type="dxa" w:w="130"/>
              <w:bottom w:type="dxa" w:w="90"/>
              <w:right w:type="dxa" w:w="130"/>
            </w:tcMar>
          </w:tcPr>
          <w:p>
            <w:pPr>
              <w:spacing w:after="0" w:line="260"/>
            </w:pPr>
            <w:r>
              <w:rPr>
                <w:b w:val="false"/>
                <w:bCs w:val="false"/>
                <w:sz w:val="20"/>
                <w:szCs w:val="20"/>
              </w:rPr>
              <w:t xml:space="preserve">3.0</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owner</w:t>
            </w:r>
          </w:p>
        </w:tc>
        <w:tc>
          <w:tcPr>
            <w:tcW w:type="dxa" w:w="248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2200"/>
            <w:tcMar>
              <w:top w:type="dxa" w:w="90"/>
              <w:left w:type="dxa" w:w="130"/>
              <w:bottom w:type="dxa" w:w="90"/>
              <w:right w:type="dxa" w:w="130"/>
            </w:tcMar>
          </w:tcPr>
          <w:p>
            <w:pPr>
              <w:spacing w:after="0" w:line="260"/>
            </w:pPr>
            <w:r>
              <w:rPr>
                <w:b w:val="false"/>
                <w:bCs w:val="false"/>
                <w:sz w:val="20"/>
                <w:szCs w:val="20"/>
              </w:rPr>
              <w:t xml:space="preserve">Approved by</w:t>
            </w:r>
          </w:p>
        </w:tc>
        <w:tc>
          <w:tcPr>
            <w:tcW w:type="dxa" w:w="2480"/>
            <w:tcMar>
              <w:top w:type="dxa" w:w="90"/>
              <w:left w:type="dxa" w:w="130"/>
              <w:bottom w:type="dxa" w:w="90"/>
              <w:right w:type="dxa" w:w="130"/>
            </w:tcMar>
          </w:tcPr>
          <w:p>
            <w:pPr>
              <w:spacing w:after="0" w:line="260"/>
            </w:pPr>
            <w:r>
              <w:rPr>
                <w:b w:val="false"/>
                <w:bCs w:val="false"/>
                <w:sz w:val="20"/>
                <w:szCs w:val="20"/>
              </w:rPr>
              <w:t xml:space="preserve">Executive Risk Committee</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Effective date</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200"/>
            <w:tcMar>
              <w:top w:type="dxa" w:w="90"/>
              <w:left w:type="dxa" w:w="130"/>
              <w:bottom w:type="dxa" w:w="90"/>
              <w:right w:type="dxa" w:w="130"/>
            </w:tcMar>
          </w:tcPr>
          <w:p>
            <w:pPr>
              <w:spacing w:after="0" w:line="260"/>
            </w:pPr>
            <w:r>
              <w:rPr>
                <w:b w:val="false"/>
                <w:bCs w:val="false"/>
                <w:sz w:val="20"/>
                <w:szCs w:val="20"/>
              </w:rPr>
              <w:t xml:space="preserve">Next review</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2027</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Classification</w:t>
            </w:r>
          </w:p>
        </w:tc>
        <w:tc>
          <w:tcPr>
            <w:tcW w:type="dxa" w:w="2480"/>
            <w:tcMar>
              <w:top w:type="dxa" w:w="90"/>
              <w:left w:type="dxa" w:w="130"/>
              <w:bottom w:type="dxa" w:w="90"/>
              <w:right w:type="dxa" w:w="130"/>
            </w:tcMar>
          </w:tcPr>
          <w:p>
            <w:pPr>
              <w:spacing w:after="0" w:line="260"/>
            </w:pPr>
            <w:r>
              <w:rPr>
                <w:b w:val="false"/>
                <w:bCs w:val="false"/>
                <w:sz w:val="20"/>
                <w:szCs w:val="20"/>
              </w:rPr>
              <w:t xml:space="preserve">Internal</w:t>
            </w:r>
          </w:p>
        </w:tc>
        <w:tc>
          <w:tcPr>
            <w:tcW w:type="dxa" w:w="2200"/>
            <w:tcMar>
              <w:top w:type="dxa" w:w="90"/>
              <w:left w:type="dxa" w:w="130"/>
              <w:bottom w:type="dxa" w:w="90"/>
              <w:right w:type="dxa" w:w="130"/>
            </w:tcMar>
          </w:tcPr>
          <w:p>
            <w:pPr>
              <w:spacing w:after="0" w:line="260"/>
            </w:pPr>
            <w:r>
              <w:rPr>
                <w:b w:val="false"/>
                <w:bCs w:val="false"/>
                <w:sz w:val="20"/>
                <w:szCs w:val="20"/>
              </w:rPr>
              <w:t xml:space="preserve">Applies to</w:t>
            </w:r>
          </w:p>
        </w:tc>
        <w:tc>
          <w:tcPr>
            <w:tcW w:type="dxa" w:w="2480"/>
            <w:tcMar>
              <w:top w:type="dxa" w:w="90"/>
              <w:left w:type="dxa" w:w="130"/>
              <w:bottom w:type="dxa" w:w="90"/>
              <w:right w:type="dxa" w:w="130"/>
            </w:tcMar>
          </w:tcPr>
          <w:p>
            <w:pPr>
              <w:spacing w:after="0" w:line="260"/>
            </w:pPr>
            <w:r>
              <w:rPr>
                <w:b w:val="false"/>
                <w:bCs w:val="false"/>
                <w:sz w:val="20"/>
                <w:szCs w:val="20"/>
              </w:rPr>
              <w:t xml:space="preserve">All workers and systems, globally</w:t>
            </w:r>
          </w:p>
        </w:tc>
      </w:tr>
    </w:tbl>
    <w:p>
      <w:pPr>
        <w:spacing w:after="240"/>
      </w:pPr>
    </w:p>
    <w:p>
      <w:pPr>
        <w:pStyle w:val="Heading2"/>
        <w:spacing w:after="120" w:before="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spacing w:after="0"/>
      </w:pPr>
    </w:p>
    <w:p>
      <w:pPr>
        <w:pStyle w:val="Heading1"/>
        <w:spacing w:after="160" w:before="320"/>
      </w:pPr>
      <w:r>
        <w:t xml:space="preserve">1. Purpose</w:t>
      </w:r>
    </w:p>
    <w:p>
      <w:pPr>
        <w:spacing w:after="140" w:line="276"/>
      </w:pPr>
      <w:r>
        <w:rPr>
          <w:sz w:val="22"/>
          <w:szCs w:val="22"/>
        </w:rPr>
        <w:t xml:space="preserve">This policy defines how access to Aldridge Financial Technologies information, systems and facilities is requested, approved, provisioned, reviewed and removed. Its purpose is to ensure that access is granted only to those with a demonstrated business need, is limited to the minimum necessary, is attributable to an individual, and is withdrawn promptly when no longer required.</w:t>
      </w:r>
    </w:p>
    <w:p>
      <w:pPr>
        <w:spacing w:after="140" w:line="276"/>
      </w:pPr>
      <w:r>
        <w:rPr>
          <w:sz w:val="22"/>
          <w:szCs w:val="22"/>
        </w:rPr>
        <w:t xml:space="preserve">Excess and orphaned access is among the most common contributory factors in the incidents this company must guard against. This policy is the primary control against it.</w:t>
      </w:r>
    </w:p>
    <w:p>
      <w:pPr>
        <w:pStyle w:val="Heading1"/>
        <w:spacing w:after="160" w:before="320"/>
      </w:pPr>
      <w:r>
        <w:t xml:space="preserve">2. Scope</w:t>
      </w:r>
    </w:p>
    <w:p>
      <w:pPr>
        <w:spacing w:after="140" w:line="276"/>
      </w:pPr>
      <w:r>
        <w:rPr>
          <w:sz w:val="22"/>
          <w:szCs w:val="22"/>
        </w:rPr>
        <w:t xml:space="preserve">This policy applies to all workers and to all logical and physical access, including corporate applications, production and non-production cloud environments, databases, network infrastructure, source code repositories, administrative consoles, third-party software-as-a-service platforms, service and machine accounts, and access to company premises and secure areas.</w:t>
      </w:r>
    </w:p>
    <w:p>
      <w:pPr>
        <w:pStyle w:val="Heading1"/>
        <w:spacing w:after="160" w:before="320"/>
      </w:pPr>
      <w:r>
        <w:t xml:space="preserve">3. Guiding principles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460"/>
      </w:tblGrid>
      <w:tr>
        <w:trPr>
          <w:tblHeader/>
        </w:trPr>
        <w:tc>
          <w:tcPr>
            <w:tcW w:type="dxa" w:w="2900"/>
            <w:shd w:fill="E7EAF0" w:color="auto" w:val="clear"/>
            <w:tcMar>
              <w:top w:type="dxa" w:w="90"/>
              <w:left w:type="dxa" w:w="130"/>
              <w:bottom w:type="dxa" w:w="90"/>
              <w:right w:type="dxa" w:w="130"/>
            </w:tcMar>
          </w:tcPr>
          <w:p>
            <w:pPr>
              <w:spacing w:after="0" w:line="260"/>
            </w:pPr>
            <w:r>
              <w:rPr>
                <w:b/>
                <w:bCs/>
                <w:sz w:val="20"/>
                <w:szCs w:val="20"/>
              </w:rPr>
              <w:t xml:space="preserve">Principle</w:t>
            </w:r>
          </w:p>
        </w:tc>
        <w:tc>
          <w:tcPr>
            <w:tcW w:type="dxa" w:w="6460"/>
            <w:shd w:fill="E7EAF0" w:color="auto" w:val="clear"/>
            <w:tcMar>
              <w:top w:type="dxa" w:w="90"/>
              <w:left w:type="dxa" w:w="130"/>
              <w:bottom w:type="dxa" w:w="90"/>
              <w:right w:type="dxa" w:w="130"/>
            </w:tcMar>
          </w:tcPr>
          <w:p>
            <w:pPr>
              <w:spacing w:after="0" w:line="260"/>
            </w:pPr>
            <w:r>
              <w:rPr>
                <w:b/>
                <w:bCs/>
                <w:sz w:val="20"/>
                <w:szCs w:val="20"/>
              </w:rPr>
              <w:t xml:space="preserve">Application</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Least privilege</w:t>
            </w:r>
          </w:p>
        </w:tc>
        <w:tc>
          <w:tcPr>
            <w:tcW w:type="dxa" w:w="6460"/>
            <w:tcMar>
              <w:top w:type="dxa" w:w="90"/>
              <w:left w:type="dxa" w:w="130"/>
              <w:bottom w:type="dxa" w:w="90"/>
              <w:right w:type="dxa" w:w="130"/>
            </w:tcMar>
          </w:tcPr>
          <w:p>
            <w:pPr>
              <w:spacing w:after="0" w:line="260"/>
            </w:pPr>
            <w:r>
              <w:rPr>
                <w:b w:val="false"/>
                <w:bCs w:val="false"/>
                <w:sz w:val="20"/>
                <w:szCs w:val="20"/>
              </w:rPr>
              <w:t xml:space="preserve">A worker or process receives only the permissions necessary to perform its defined function, and nothing further.</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Need to know</w:t>
            </w:r>
          </w:p>
        </w:tc>
        <w:tc>
          <w:tcPr>
            <w:tcW w:type="dxa" w:w="6460"/>
            <w:tcMar>
              <w:top w:type="dxa" w:w="90"/>
              <w:left w:type="dxa" w:w="130"/>
              <w:bottom w:type="dxa" w:w="90"/>
              <w:right w:type="dxa" w:w="130"/>
            </w:tcMar>
          </w:tcPr>
          <w:p>
            <w:pPr>
              <w:spacing w:after="0" w:line="260"/>
            </w:pPr>
            <w:r>
              <w:rPr>
                <w:b w:val="false"/>
                <w:bCs w:val="false"/>
                <w:sz w:val="20"/>
                <w:szCs w:val="20"/>
              </w:rPr>
              <w:t xml:space="preserve">Access to information is granted on the basis of a demonstrated business requirement, not seniority or convenience.</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Individual accountability</w:t>
            </w:r>
          </w:p>
        </w:tc>
        <w:tc>
          <w:tcPr>
            <w:tcW w:type="dxa" w:w="6460"/>
            <w:tcMar>
              <w:top w:type="dxa" w:w="90"/>
              <w:left w:type="dxa" w:w="130"/>
              <w:bottom w:type="dxa" w:w="90"/>
              <w:right w:type="dxa" w:w="130"/>
            </w:tcMar>
          </w:tcPr>
          <w:p>
            <w:pPr>
              <w:spacing w:after="0" w:line="260"/>
            </w:pPr>
            <w:r>
              <w:rPr>
                <w:b w:val="false"/>
                <w:bCs w:val="false"/>
                <w:sz w:val="20"/>
                <w:szCs w:val="20"/>
              </w:rPr>
              <w:t xml:space="preserve">Every action is traceable to a named individual. Shared interactive accounts are prohibited.</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Segregation of duties</w:t>
            </w:r>
          </w:p>
        </w:tc>
        <w:tc>
          <w:tcPr>
            <w:tcW w:type="dxa" w:w="6460"/>
            <w:tcMar>
              <w:top w:type="dxa" w:w="90"/>
              <w:left w:type="dxa" w:w="130"/>
              <w:bottom w:type="dxa" w:w="90"/>
              <w:right w:type="dxa" w:w="130"/>
            </w:tcMar>
          </w:tcPr>
          <w:p>
            <w:pPr>
              <w:spacing w:after="0" w:line="260"/>
            </w:pPr>
            <w:r>
              <w:rPr>
                <w:b w:val="false"/>
                <w:bCs w:val="false"/>
                <w:sz w:val="20"/>
                <w:szCs w:val="20"/>
              </w:rPr>
              <w:t xml:space="preserve">No single individual may initiate, approve and execute a transaction or change that carries material financial or security consequence.</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Deny by default</w:t>
            </w:r>
          </w:p>
        </w:tc>
        <w:tc>
          <w:tcPr>
            <w:tcW w:type="dxa" w:w="6460"/>
            <w:tcMar>
              <w:top w:type="dxa" w:w="90"/>
              <w:left w:type="dxa" w:w="130"/>
              <w:bottom w:type="dxa" w:w="90"/>
              <w:right w:type="dxa" w:w="130"/>
            </w:tcMar>
          </w:tcPr>
          <w:p>
            <w:pPr>
              <w:spacing w:after="0" w:line="260"/>
            </w:pPr>
            <w:r>
              <w:rPr>
                <w:b w:val="false"/>
                <w:bCs w:val="false"/>
                <w:sz w:val="20"/>
                <w:szCs w:val="20"/>
              </w:rPr>
              <w:t xml:space="preserve">Access is denied unless explicitly granted. New systems are configured closed and opened by exception.</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Time-bound privilege</w:t>
            </w:r>
          </w:p>
        </w:tc>
        <w:tc>
          <w:tcPr>
            <w:tcW w:type="dxa" w:w="6460"/>
            <w:tcMar>
              <w:top w:type="dxa" w:w="90"/>
              <w:left w:type="dxa" w:w="130"/>
              <w:bottom w:type="dxa" w:w="90"/>
              <w:right w:type="dxa" w:w="130"/>
            </w:tcMar>
          </w:tcPr>
          <w:p>
            <w:pPr>
              <w:spacing w:after="0" w:line="260"/>
            </w:pPr>
            <w:r>
              <w:rPr>
                <w:b w:val="false"/>
                <w:bCs w:val="false"/>
                <w:sz w:val="20"/>
                <w:szCs w:val="20"/>
              </w:rPr>
              <w:t xml:space="preserve">Elevated access is granted for the shortest period necessary and expires automatically.</w:t>
            </w:r>
          </w:p>
        </w:tc>
      </w:tr>
    </w:tbl>
    <w:p>
      <w:pPr>
        <w:pStyle w:val="Heading1"/>
        <w:spacing w:after="160" w:before="320"/>
      </w:pPr>
      <w:r>
        <w:t xml:space="preserve">4. Policy statements</w:t>
      </w:r>
    </w:p>
    <w:p>
      <w:pPr>
        <w:pStyle w:val="Heading2"/>
        <w:spacing w:after="120" w:before="240"/>
      </w:pPr>
      <w:r>
        <w:t xml:space="preserve">4.1 Identity and account management</w:t>
      </w:r>
    </w:p>
    <w:p>
      <w:pPr>
        <w:pStyle w:val="ListParagraph"/>
        <w:numPr>
          <w:ilvl w:val="0"/>
          <w:numId w:val="2"/>
        </w:numPr>
        <w:spacing w:after="80" w:line="276"/>
      </w:pPr>
      <w:r>
        <w:rPr>
          <w:sz w:val="22"/>
          <w:szCs w:val="22"/>
        </w:rPr>
        <w:t xml:space="preserve">Every worker is issued a unique identity in the corporate identity provider, which is the authoritative source for authentication to all systems capable of federation.</w:t>
      </w:r>
    </w:p>
    <w:p>
      <w:pPr>
        <w:pStyle w:val="ListParagraph"/>
        <w:numPr>
          <w:ilvl w:val="0"/>
          <w:numId w:val="2"/>
        </w:numPr>
        <w:spacing w:after="80" w:line="276"/>
      </w:pPr>
      <w:r>
        <w:rPr>
          <w:sz w:val="22"/>
          <w:szCs w:val="22"/>
        </w:rPr>
        <w:t xml:space="preserve">Access to any system that cannot federate must be recorded in the access register and justified at the next quarterly review; the inability to federate is a finding, not an exemption.</w:t>
      </w:r>
    </w:p>
    <w:p>
      <w:pPr>
        <w:pStyle w:val="ListParagraph"/>
        <w:numPr>
          <w:ilvl w:val="0"/>
          <w:numId w:val="2"/>
        </w:numPr>
        <w:spacing w:after="80" w:line="276"/>
      </w:pPr>
      <w:r>
        <w:rPr>
          <w:sz w:val="22"/>
          <w:szCs w:val="22"/>
        </w:rPr>
        <w:t xml:space="preserve">Generic, shared and anonymous interactive accounts are prohibited. Where a legacy system cannot support individual accounts, a compensating control comprising session recording and a named custodian must be documented and approved by the CISO.</w:t>
      </w:r>
    </w:p>
    <w:p>
      <w:pPr>
        <w:pStyle w:val="ListParagraph"/>
        <w:numPr>
          <w:ilvl w:val="0"/>
          <w:numId w:val="2"/>
        </w:numPr>
        <w:spacing w:after="80" w:line="276"/>
      </w:pPr>
      <w:r>
        <w:rPr>
          <w:sz w:val="22"/>
          <w:szCs w:val="22"/>
        </w:rPr>
        <w:t xml:space="preserve">Service and machine accounts must have a named human owner, a documented purpose, non-interactive login only, and credentials held in the approved secrets management service.</w:t>
      </w:r>
    </w:p>
    <w:p>
      <w:pPr>
        <w:pStyle w:val="ListParagraph"/>
        <w:numPr>
          <w:ilvl w:val="0"/>
          <w:numId w:val="2"/>
        </w:numPr>
        <w:spacing w:after="80" w:line="276"/>
      </w:pPr>
      <w:r>
        <w:rPr>
          <w:sz w:val="22"/>
          <w:szCs w:val="22"/>
        </w:rPr>
        <w:t xml:space="preserve">Vendor and support accounts are disabled by default and enabled only for the duration of an approved support activity.</w:t>
      </w:r>
    </w:p>
    <w:p>
      <w:pPr>
        <w:pStyle w:val="Heading2"/>
        <w:spacing w:after="120" w:before="240"/>
      </w:pPr>
      <w:r>
        <w:t xml:space="preserve">4.2 Access request and approval</w:t>
      </w:r>
    </w:p>
    <w:p>
      <w:pPr>
        <w:pStyle w:val="ListParagraph"/>
        <w:numPr>
          <w:ilvl w:val="0"/>
          <w:numId w:val="2"/>
        </w:numPr>
        <w:spacing w:after="80" w:line="276"/>
      </w:pPr>
      <w:r>
        <w:rPr>
          <w:sz w:val="22"/>
          <w:szCs w:val="22"/>
        </w:rPr>
        <w:t xml:space="preserve">All access is requested through the service portal. Verbal, email and chat requests are not valid and must not be actioned.</w:t>
      </w:r>
    </w:p>
    <w:p>
      <w:pPr>
        <w:pStyle w:val="ListParagraph"/>
        <w:numPr>
          <w:ilvl w:val="0"/>
          <w:numId w:val="2"/>
        </w:numPr>
        <w:spacing w:after="80" w:line="276"/>
      </w:pPr>
      <w:r>
        <w:rPr>
          <w:sz w:val="22"/>
          <w:szCs w:val="22"/>
        </w:rPr>
        <w:t xml:space="preserve">Every request requires approval by the requester’s line manager and by the designated system owner. A worker may not approve their own access.</w:t>
      </w:r>
    </w:p>
    <w:p>
      <w:pPr>
        <w:pStyle w:val="ListParagraph"/>
        <w:numPr>
          <w:ilvl w:val="0"/>
          <w:numId w:val="2"/>
        </w:numPr>
        <w:spacing w:after="80" w:line="276"/>
      </w:pPr>
      <w:r>
        <w:rPr>
          <w:sz w:val="22"/>
          <w:szCs w:val="22"/>
        </w:rPr>
        <w:t xml:space="preserve">Access to production environments, to Restricted data, or to any privileged role additionally requires approval by the Chief Information Security Officer or a nominated deputy.</w:t>
      </w:r>
    </w:p>
    <w:p>
      <w:pPr>
        <w:pStyle w:val="ListParagraph"/>
        <w:numPr>
          <w:ilvl w:val="0"/>
          <w:numId w:val="2"/>
        </w:numPr>
        <w:spacing w:after="80" w:line="276"/>
      </w:pPr>
      <w:r>
        <w:rPr>
          <w:sz w:val="22"/>
          <w:szCs w:val="22"/>
        </w:rPr>
        <w:t xml:space="preserve">Access that would create a segregation of duties conflict must be refused, or granted only with a documented compensating control approved by the Executive Risk Committee.</w:t>
      </w:r>
    </w:p>
    <w:p>
      <w:pPr>
        <w:pStyle w:val="ListParagraph"/>
        <w:numPr>
          <w:ilvl w:val="0"/>
          <w:numId w:val="2"/>
        </w:numPr>
        <w:spacing w:after="80" w:line="276"/>
      </w:pPr>
      <w:r>
        <w:rPr>
          <w:sz w:val="22"/>
          <w:szCs w:val="22"/>
        </w:rPr>
        <w:t xml:space="preserve">Role-based access profiles are defined for each job family and are the default provisioning route. Individual entitlement grants outside a defined role require written justification.</w:t>
      </w:r>
    </w:p>
    <w:p>
      <w:pPr>
        <w:pStyle w:val="Heading2"/>
        <w:spacing w:after="120" w:before="240"/>
      </w:pPr>
      <w:r>
        <w:t xml:space="preserve">4.3 Joiners, movers and leavers</w:t>
      </w:r>
    </w:p>
    <w:p>
      <w:pPr>
        <w:pStyle w:val="ListParagraph"/>
        <w:numPr>
          <w:ilvl w:val="0"/>
          <w:numId w:val="2"/>
        </w:numPr>
        <w:spacing w:after="80" w:line="276"/>
      </w:pPr>
      <w:r>
        <w:rPr>
          <w:sz w:val="22"/>
          <w:szCs w:val="22"/>
        </w:rPr>
        <w:t xml:space="preserve">Access is provisioned only after the People Operations system confirms an active worker record and confirms completion of induction security training.</w:t>
      </w:r>
    </w:p>
    <w:p>
      <w:pPr>
        <w:pStyle w:val="ListParagraph"/>
        <w:numPr>
          <w:ilvl w:val="0"/>
          <w:numId w:val="2"/>
        </w:numPr>
        <w:spacing w:after="80" w:line="276"/>
      </w:pPr>
      <w:r>
        <w:rPr>
          <w:sz w:val="22"/>
          <w:szCs w:val="22"/>
        </w:rPr>
        <w:t xml:space="preserve">On internal transfer, the receiving manager requests the new access profile and the releasing manager confirms revocation of the prior profile. Accumulation of entitlements across roles is expressly prohibited and is tested at each quarterly review.</w:t>
      </w:r>
    </w:p>
    <w:p>
      <w:pPr>
        <w:pStyle w:val="ListParagraph"/>
        <w:numPr>
          <w:ilvl w:val="0"/>
          <w:numId w:val="2"/>
        </w:numPr>
        <w:spacing w:after="80" w:line="276"/>
      </w:pPr>
      <w:r>
        <w:rPr>
          <w:sz w:val="22"/>
          <w:szCs w:val="22"/>
        </w:rPr>
        <w:t xml:space="preserve">On termination, all logical access is revoked within four hours of the effective leaving time. For involuntary terminations, revocation is executed at or before the point of notification.</w:t>
      </w:r>
    </w:p>
    <w:p>
      <w:pPr>
        <w:pStyle w:val="ListParagraph"/>
        <w:numPr>
          <w:ilvl w:val="0"/>
          <w:numId w:val="2"/>
        </w:numPr>
        <w:spacing w:after="80" w:line="276"/>
      </w:pPr>
      <w:r>
        <w:rPr>
          <w:sz w:val="22"/>
          <w:szCs w:val="22"/>
        </w:rPr>
        <w:t xml:space="preserve">Physical access credentials and company assets are recovered on or before the final working day.</w:t>
      </w:r>
    </w:p>
    <w:p>
      <w:pPr>
        <w:pStyle w:val="ListParagraph"/>
        <w:numPr>
          <w:ilvl w:val="0"/>
          <w:numId w:val="2"/>
        </w:numPr>
        <w:spacing w:after="80" w:line="276"/>
      </w:pPr>
      <w:r>
        <w:rPr>
          <w:sz w:val="22"/>
          <w:szCs w:val="22"/>
        </w:rPr>
        <w:t xml:space="preserve">Where a worker had privileged access, all credentials and keys they held or could have held are rotated within twenty-four hours of departure.</w:t>
      </w:r>
    </w:p>
    <w:p>
      <w:pPr>
        <w:pStyle w:val="Heading2"/>
        <w:spacing w:after="120" w:before="240"/>
      </w:pPr>
      <w:r>
        <w:t xml:space="preserve">4.4 Authentication</w:t>
      </w:r>
    </w:p>
    <w:p>
      <w:pPr>
        <w:spacing w:after="140" w:line="276"/>
      </w:pPr>
      <w:r>
        <w:rPr>
          <w:sz w:val="22"/>
          <w:szCs w:val="22"/>
        </w:rPr>
        <w:t xml:space="preserve">The parameters giving effect to this section — minimum lengths, accepted factor types, timeouts, lockout and dormancy thresholds — are set in AFT-ISMS-STD-02 Authentication and Credential Standard and are not restated here. This separation is required by the tier convention: a policy states the obligation and is approved by the Executive Risk Committee; a standard holds the parameter and is approved by the Chief Information Security Officer, so that a parameter can be revised without executive re-approval.</w:t>
      </w:r>
    </w:p>
    <w:p>
      <w:pPr>
        <w:pStyle w:val="ListParagraph"/>
        <w:numPr>
          <w:ilvl w:val="0"/>
          <w:numId w:val="2"/>
        </w:numPr>
        <w:spacing w:after="80" w:line="276"/>
      </w:pPr>
      <w:r>
        <w:rPr>
          <w:sz w:val="22"/>
          <w:szCs w:val="22"/>
        </w:rPr>
        <w:t xml:space="preserve">Multi-factor authentication is mandatory for all workers on all systems, without exception for seniority or convenience.</w:t>
      </w:r>
    </w:p>
    <w:p>
      <w:pPr>
        <w:pStyle w:val="ListParagraph"/>
        <w:numPr>
          <w:ilvl w:val="0"/>
          <w:numId w:val="2"/>
        </w:numPr>
        <w:spacing w:after="80" w:line="276"/>
      </w:pPr>
      <w:r>
        <w:rPr>
          <w:sz w:val="22"/>
          <w:szCs w:val="22"/>
        </w:rPr>
        <w:t xml:space="preserve">Privileged and administrative access requires phishing-resistant authentication. The accepted factor types are set in STD-02.</w:t>
      </w:r>
    </w:p>
    <w:p>
      <w:pPr>
        <w:pStyle w:val="ListParagraph"/>
        <w:numPr>
          <w:ilvl w:val="0"/>
          <w:numId w:val="2"/>
        </w:numPr>
        <w:spacing w:after="80" w:line="276"/>
      </w:pPr>
      <w:r>
        <w:rPr>
          <w:sz w:val="22"/>
          <w:szCs w:val="22"/>
        </w:rPr>
        <w:t xml:space="preserve">Passwords must meet the length, generation and screening requirements of STD-02, and must be held only in the approved password manager or secrets management service.</w:t>
      </w:r>
    </w:p>
    <w:p>
      <w:pPr>
        <w:pStyle w:val="ListParagraph"/>
        <w:numPr>
          <w:ilvl w:val="0"/>
          <w:numId w:val="2"/>
        </w:numPr>
        <w:spacing w:after="80" w:line="276"/>
      </w:pPr>
      <w:r>
        <w:rPr>
          <w:sz w:val="22"/>
          <w:szCs w:val="22"/>
        </w:rPr>
        <w:t xml:space="preserve">Accounts must lock after a defined number of consecutive failed authentication attempts and be released only through verified identity confirmation. Credential reset must not be granted on knowledge of personal details alone.</w:t>
      </w:r>
    </w:p>
    <w:p>
      <w:pPr>
        <w:pStyle w:val="ListParagraph"/>
        <w:numPr>
          <w:ilvl w:val="0"/>
          <w:numId w:val="2"/>
        </w:numPr>
        <w:spacing w:after="80" w:line="276"/>
      </w:pPr>
      <w:r>
        <w:rPr>
          <w:sz w:val="22"/>
          <w:szCs w:val="22"/>
        </w:rPr>
        <w:t xml:space="preserve">Interactive sessions must time out after a defined period of inactivity, shorter for privileged sessions.</w:t>
      </w:r>
    </w:p>
    <w:p>
      <w:pPr>
        <w:pStyle w:val="Heading2"/>
        <w:spacing w:after="120" w:before="240"/>
      </w:pPr>
      <w:r>
        <w:t xml:space="preserve">4.5 Privileged access</w:t>
      </w:r>
    </w:p>
    <w:p>
      <w:pPr>
        <w:pStyle w:val="ListParagraph"/>
        <w:numPr>
          <w:ilvl w:val="0"/>
          <w:numId w:val="2"/>
        </w:numPr>
        <w:spacing w:after="80" w:line="276"/>
      </w:pPr>
      <w:r>
        <w:rPr>
          <w:sz w:val="22"/>
          <w:szCs w:val="22"/>
        </w:rPr>
        <w:t xml:space="preserve">Privileged access is granted through the privileged access management platform on a just-in-time basis, with a maximum session duration of four hours and automatic expiry.</w:t>
      </w:r>
    </w:p>
    <w:p>
      <w:pPr>
        <w:pStyle w:val="ListParagraph"/>
        <w:numPr>
          <w:ilvl w:val="0"/>
          <w:numId w:val="2"/>
        </w:numPr>
        <w:spacing w:after="80" w:line="276"/>
      </w:pPr>
      <w:r>
        <w:rPr>
          <w:sz w:val="22"/>
          <w:szCs w:val="22"/>
        </w:rPr>
        <w:t xml:space="preserve">Standing administrative privilege in production is prohibited. Break-glass accounts are permitted, held in sealed custody, alerted on at every use, and reconciled to an approved incident or change within one business day.</w:t>
      </w:r>
    </w:p>
    <w:p>
      <w:pPr>
        <w:pStyle w:val="ListParagraph"/>
        <w:numPr>
          <w:ilvl w:val="0"/>
          <w:numId w:val="2"/>
        </w:numPr>
        <w:spacing w:after="80" w:line="276"/>
      </w:pPr>
      <w:r>
        <w:rPr>
          <w:sz w:val="22"/>
          <w:szCs w:val="22"/>
        </w:rPr>
        <w:t xml:space="preserve">Privileged sessions are recorded and the recordings retained for twelve months.</w:t>
      </w:r>
    </w:p>
    <w:p>
      <w:pPr>
        <w:pStyle w:val="ListParagraph"/>
        <w:numPr>
          <w:ilvl w:val="0"/>
          <w:numId w:val="2"/>
        </w:numPr>
        <w:spacing w:after="80" w:line="276"/>
      </w:pPr>
      <w:r>
        <w:rPr>
          <w:sz w:val="22"/>
          <w:szCs w:val="22"/>
        </w:rPr>
        <w:t xml:space="preserve">Administrative access must originate from a managed privileged access workstation and must not be performed from a general-purpose endpoint.</w:t>
      </w:r>
    </w:p>
    <w:p>
      <w:pPr>
        <w:pStyle w:val="ListParagraph"/>
        <w:numPr>
          <w:ilvl w:val="0"/>
          <w:numId w:val="2"/>
        </w:numPr>
        <w:spacing w:after="80" w:line="276"/>
      </w:pPr>
      <w:r>
        <w:rPr>
          <w:sz w:val="22"/>
          <w:szCs w:val="22"/>
        </w:rPr>
        <w:t xml:space="preserve">Cloud root and organisation-owner credentials are held by two nominated custodians, protected by hardware tokens, and used only under a documented emergency procedure.</w:t>
      </w:r>
    </w:p>
    <w:p>
      <w:pPr>
        <w:pStyle w:val="Heading2"/>
        <w:spacing w:after="120" w:before="240"/>
      </w:pPr>
      <w:r>
        <w:t xml:space="preserve">4.6 Remote access and network access control</w:t>
      </w:r>
    </w:p>
    <w:p>
      <w:pPr>
        <w:pStyle w:val="ListParagraph"/>
        <w:numPr>
          <w:ilvl w:val="0"/>
          <w:numId w:val="2"/>
        </w:numPr>
        <w:spacing w:after="80" w:line="276"/>
      </w:pPr>
      <w:r>
        <w:rPr>
          <w:sz w:val="22"/>
          <w:szCs w:val="22"/>
        </w:rPr>
        <w:t xml:space="preserve">Remote access to internal systems is provided only through the corporate zero trust access service, which evaluates device posture and user risk at every session.</w:t>
      </w:r>
    </w:p>
    <w:p>
      <w:pPr>
        <w:pStyle w:val="ListParagraph"/>
        <w:numPr>
          <w:ilvl w:val="0"/>
          <w:numId w:val="2"/>
        </w:numPr>
        <w:spacing w:after="80" w:line="276"/>
      </w:pPr>
      <w:r>
        <w:rPr>
          <w:sz w:val="22"/>
          <w:szCs w:val="22"/>
        </w:rPr>
        <w:t xml:space="preserve">Network access is segmented so that the cardholder data environment, the production lending platform, corporate systems and guest networks are mutually isolated by default.</w:t>
      </w:r>
    </w:p>
    <w:p>
      <w:pPr>
        <w:pStyle w:val="ListParagraph"/>
        <w:numPr>
          <w:ilvl w:val="0"/>
          <w:numId w:val="2"/>
        </w:numPr>
        <w:spacing w:after="80" w:line="276"/>
      </w:pPr>
      <w:r>
        <w:rPr>
          <w:sz w:val="22"/>
          <w:szCs w:val="22"/>
        </w:rPr>
        <w:t xml:space="preserve">Third-party access is provisioned through a dedicated, time-bound access path with activity logging, and never through shared credentials or an unrestricted virtual private network tunnel.</w:t>
      </w:r>
    </w:p>
    <w:p>
      <w:pPr>
        <w:pStyle w:val="Heading2"/>
        <w:spacing w:after="120" w:before="240"/>
      </w:pPr>
      <w:r>
        <w:t xml:space="preserve">4.7 Access review and recertification</w:t>
      </w:r>
    </w:p>
    <w:p>
      <w:pPr>
        <w:pStyle w:val="ListParagraph"/>
        <w:numPr>
          <w:ilvl w:val="0"/>
          <w:numId w:val="2"/>
        </w:numPr>
        <w:spacing w:after="80" w:line="276"/>
      </w:pPr>
      <w:r>
        <w:rPr>
          <w:sz w:val="22"/>
          <w:szCs w:val="22"/>
        </w:rPr>
        <w:t xml:space="preserve">System owners recertify all user entitlements quarterly. Privileged entitlements and access to the cardholder data environment are recertified monthly.</w:t>
      </w:r>
    </w:p>
    <w:p>
      <w:pPr>
        <w:pStyle w:val="ListParagraph"/>
        <w:numPr>
          <w:ilvl w:val="0"/>
          <w:numId w:val="2"/>
        </w:numPr>
        <w:spacing w:after="80" w:line="276"/>
      </w:pPr>
      <w:r>
        <w:rPr>
          <w:sz w:val="22"/>
          <w:szCs w:val="22"/>
        </w:rPr>
        <w:t xml:space="preserve">Reviewers must positively confirm each entitlement. Bulk approval without individual consideration is a control failure and is sampled for by Internal Audit.</w:t>
      </w:r>
    </w:p>
    <w:p>
      <w:pPr>
        <w:pStyle w:val="ListParagraph"/>
        <w:numPr>
          <w:ilvl w:val="0"/>
          <w:numId w:val="2"/>
        </w:numPr>
        <w:spacing w:after="80" w:line="276"/>
      </w:pPr>
      <w:r>
        <w:rPr>
          <w:sz w:val="22"/>
          <w:szCs w:val="22"/>
        </w:rPr>
        <w:t xml:space="preserve">Access not confirmed within the review window is revoked automatically at the close of the window.</w:t>
      </w:r>
    </w:p>
    <w:p>
      <w:pPr>
        <w:pStyle w:val="ListParagraph"/>
        <w:numPr>
          <w:ilvl w:val="0"/>
          <w:numId w:val="2"/>
        </w:numPr>
        <w:spacing w:after="80" w:line="276"/>
      </w:pPr>
      <w:r>
        <w:rPr>
          <w:sz w:val="22"/>
          <w:szCs w:val="22"/>
        </w:rPr>
        <w:t xml:space="preserve">Dormant accounts are disabled and subsequently deleted in accordance with the thresholds in STD-02, subject to any legal hold.</w:t>
      </w:r>
    </w:p>
    <w:p>
      <w:pPr>
        <w:pStyle w:val="ListParagraph"/>
        <w:numPr>
          <w:ilvl w:val="0"/>
          <w:numId w:val="2"/>
        </w:numPr>
        <w:spacing w:after="80" w:line="276"/>
      </w:pPr>
      <w:r>
        <w:rPr>
          <w:sz w:val="22"/>
          <w:szCs w:val="22"/>
        </w:rPr>
        <w:t xml:space="preserve">Review completion rates and revocation volumes are reported to the Executive Risk Committee each quarter.</w:t>
      </w:r>
    </w:p>
    <w:p>
      <w:pPr>
        <w:pStyle w:val="Heading2"/>
        <w:spacing w:after="120" w:before="240"/>
      </w:pPr>
      <w:r>
        <w:t xml:space="preserve">4.8 Physical access</w:t>
      </w:r>
    </w:p>
    <w:p>
      <w:pPr>
        <w:pStyle w:val="ListParagraph"/>
        <w:numPr>
          <w:ilvl w:val="0"/>
          <w:numId w:val="2"/>
        </w:numPr>
        <w:spacing w:after="80" w:line="276"/>
      </w:pPr>
      <w:r>
        <w:rPr>
          <w:sz w:val="22"/>
          <w:szCs w:val="22"/>
        </w:rPr>
        <w:t xml:space="preserve">Access to offices is controlled by individually issued credentials; tailgating is prohibited and workers must challenge or report unescorted unknown persons.</w:t>
      </w:r>
    </w:p>
    <w:p>
      <w:pPr>
        <w:pStyle w:val="ListParagraph"/>
        <w:numPr>
          <w:ilvl w:val="0"/>
          <w:numId w:val="2"/>
        </w:numPr>
        <w:spacing w:after="80" w:line="276"/>
      </w:pPr>
      <w:r>
        <w:rPr>
          <w:sz w:val="22"/>
          <w:szCs w:val="22"/>
        </w:rPr>
        <w:t xml:space="preserve">Access to secure areas, including comms rooms and any area where Restricted material is handled, requires separate approval and is logged.</w:t>
      </w:r>
    </w:p>
    <w:p>
      <w:pPr>
        <w:pStyle w:val="ListParagraph"/>
        <w:numPr>
          <w:ilvl w:val="0"/>
          <w:numId w:val="2"/>
        </w:numPr>
        <w:spacing w:after="80" w:line="276"/>
      </w:pPr>
      <w:r>
        <w:rPr>
          <w:sz w:val="22"/>
          <w:szCs w:val="22"/>
        </w:rPr>
        <w:t xml:space="preserve">Visitors are registered, escorted at all times in non-public areas, and issued visibly distinct passes.</w:t>
      </w:r>
    </w:p>
    <w:p>
      <w:pPr>
        <w:pStyle w:val="Heading1"/>
        <w:spacing w:after="160" w:before="320"/>
      </w:pPr>
      <w:r>
        <w:t xml:space="preserve">5. Roles and responsibilities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E7EAF0" w:color="auto" w:val="clear"/>
            <w:tcMar>
              <w:top w:type="dxa" w:w="90"/>
              <w:left w:type="dxa" w:w="130"/>
              <w:bottom w:type="dxa" w:w="90"/>
              <w:right w:type="dxa" w:w="130"/>
            </w:tcMar>
          </w:tcPr>
          <w:p>
            <w:pPr>
              <w:spacing w:after="0" w:line="260"/>
            </w:pPr>
            <w:r>
              <w:rPr>
                <w:b/>
                <w:bCs/>
                <w:sz w:val="20"/>
                <w:szCs w:val="20"/>
              </w:rPr>
              <w:t xml:space="preserve">Role</w:t>
            </w:r>
          </w:p>
        </w:tc>
        <w:tc>
          <w:tcPr>
            <w:tcW w:type="dxa" w:w="6760"/>
            <w:shd w:fill="E7EAF0" w:color="auto" w:val="clear"/>
            <w:tcMar>
              <w:top w:type="dxa" w:w="90"/>
              <w:left w:type="dxa" w:w="130"/>
              <w:bottom w:type="dxa" w:w="90"/>
              <w:right w:type="dxa" w:w="130"/>
            </w:tcMar>
          </w:tcPr>
          <w:p>
            <w:pPr>
              <w:spacing w:after="0" w:line="260"/>
            </w:pPr>
            <w:r>
              <w:rPr>
                <w:b/>
                <w:bCs/>
                <w:sz w:val="20"/>
                <w:szCs w:val="20"/>
              </w:rPr>
              <w:t xml:space="preserve">Responsibility</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All workers</w:t>
            </w:r>
          </w:p>
        </w:tc>
        <w:tc>
          <w:tcPr>
            <w:tcW w:type="dxa" w:w="6760"/>
            <w:tcMar>
              <w:top w:type="dxa" w:w="90"/>
              <w:left w:type="dxa" w:w="130"/>
              <w:bottom w:type="dxa" w:w="90"/>
              <w:right w:type="dxa" w:w="130"/>
            </w:tcMar>
          </w:tcPr>
          <w:p>
            <w:pPr>
              <w:spacing w:after="0" w:line="260"/>
            </w:pPr>
            <w:r>
              <w:rPr>
                <w:b w:val="false"/>
                <w:bCs w:val="false"/>
                <w:sz w:val="20"/>
                <w:szCs w:val="20"/>
              </w:rPr>
              <w:t xml:space="preserve">Request access through the approved route; use only the access granted to them; report excess or unexpected access.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Line managers</w:t>
            </w:r>
          </w:p>
        </w:tc>
        <w:tc>
          <w:tcPr>
            <w:tcW w:type="dxa" w:w="6760"/>
            <w:tcMar>
              <w:top w:type="dxa" w:w="90"/>
              <w:left w:type="dxa" w:w="130"/>
              <w:bottom w:type="dxa" w:w="90"/>
              <w:right w:type="dxa" w:w="130"/>
            </w:tcMar>
          </w:tcPr>
          <w:p>
            <w:pPr>
              <w:spacing w:after="0" w:line="260"/>
            </w:pPr>
            <w:r>
              <w:rPr>
                <w:b w:val="false"/>
                <w:bCs w:val="false"/>
                <w:sz w:val="20"/>
                <w:szCs w:val="20"/>
              </w:rPr>
              <w:t xml:space="preserve">Approve requests on the basis of business need; initiate mover and leaver actions; complete quarterly recertification for their reports.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System owners</w:t>
            </w:r>
          </w:p>
        </w:tc>
        <w:tc>
          <w:tcPr>
            <w:tcW w:type="dxa" w:w="6760"/>
            <w:tcMar>
              <w:top w:type="dxa" w:w="90"/>
              <w:left w:type="dxa" w:w="130"/>
              <w:bottom w:type="dxa" w:w="90"/>
              <w:right w:type="dxa" w:w="130"/>
            </w:tcMar>
          </w:tcPr>
          <w:p>
            <w:pPr>
              <w:spacing w:after="0" w:line="260"/>
            </w:pPr>
            <w:r>
              <w:rPr>
                <w:b w:val="false"/>
                <w:bCs w:val="false"/>
                <w:sz w:val="20"/>
                <w:szCs w:val="20"/>
              </w:rPr>
              <w:t xml:space="preserve">Define role profiles; approve access to their systems; complete recertification; maintain the entitlement catalogue.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Identity and Access Management team</w:t>
            </w:r>
          </w:p>
        </w:tc>
        <w:tc>
          <w:tcPr>
            <w:tcW w:type="dxa" w:w="6760"/>
            <w:tcMar>
              <w:top w:type="dxa" w:w="90"/>
              <w:left w:type="dxa" w:w="130"/>
              <w:bottom w:type="dxa" w:w="90"/>
              <w:right w:type="dxa" w:w="130"/>
            </w:tcMar>
          </w:tcPr>
          <w:p>
            <w:pPr>
              <w:spacing w:after="0" w:line="260"/>
            </w:pPr>
            <w:r>
              <w:rPr>
                <w:b w:val="false"/>
                <w:bCs w:val="false"/>
                <w:sz w:val="20"/>
                <w:szCs w:val="20"/>
              </w:rPr>
              <w:t xml:space="preserve">Provisions and de-provisions access; operates the identity provider and privileged access platform; produces review campaigns and evidence.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6760"/>
            <w:tcMar>
              <w:top w:type="dxa" w:w="90"/>
              <w:left w:type="dxa" w:w="130"/>
              <w:bottom w:type="dxa" w:w="90"/>
              <w:right w:type="dxa" w:w="130"/>
            </w:tcMar>
          </w:tcPr>
          <w:p>
            <w:pPr>
              <w:spacing w:after="0" w:line="260"/>
            </w:pPr>
            <w:r>
              <w:rPr>
                <w:b w:val="false"/>
                <w:bCs w:val="false"/>
                <w:sz w:val="20"/>
                <w:szCs w:val="20"/>
              </w:rPr>
              <w:t xml:space="preserve">Owns this policy; approves privileged and production access; approves exceptions.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Internal Audit</w:t>
            </w:r>
          </w:p>
        </w:tc>
        <w:tc>
          <w:tcPr>
            <w:tcW w:type="dxa" w:w="6760"/>
            <w:tcMar>
              <w:top w:type="dxa" w:w="90"/>
              <w:left w:type="dxa" w:w="130"/>
              <w:bottom w:type="dxa" w:w="90"/>
              <w:right w:type="dxa" w:w="130"/>
            </w:tcMar>
          </w:tcPr>
          <w:p>
            <w:pPr>
              <w:spacing w:after="0" w:line="260"/>
            </w:pPr>
            <w:r>
              <w:rPr>
                <w:b w:val="false"/>
                <w:bCs w:val="false"/>
                <w:sz w:val="20"/>
                <w:szCs w:val="20"/>
              </w:rPr>
              <w:t xml:space="preserve">Independently tests the operating effectiveness of the controls in this policy and reports to the Audit Committee.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People Operations</w:t>
            </w:r>
          </w:p>
        </w:tc>
        <w:tc>
          <w:tcPr>
            <w:tcW w:type="dxa" w:w="6760"/>
            <w:tcMar>
              <w:top w:type="dxa" w:w="90"/>
              <w:left w:type="dxa" w:w="130"/>
              <w:bottom w:type="dxa" w:w="90"/>
              <w:right w:type="dxa" w:w="130"/>
            </w:tcMar>
          </w:tcPr>
          <w:p>
            <w:pPr>
              <w:spacing w:after="0" w:line="260"/>
            </w:pPr>
            <w:r>
              <w:rPr>
                <w:b w:val="false"/>
                <w:bCs w:val="false"/>
                <w:sz w:val="20"/>
                <w:szCs w:val="20"/>
              </w:rPr>
              <w:t xml:space="preserve">Maintains the authoritative worker record that triggers joiner, mover and leaver automation.</w:t>
            </w:r>
          </w:p>
        </w:tc>
      </w:tr>
    </w:tbl>
    <w:p>
      <w:pPr>
        <w:pStyle w:val="Heading1"/>
        <w:spacing w:after="160" w:before="320"/>
      </w:pPr>
      <w:r>
        <w:t xml:space="preserve">6. Compliance and enforcement</w:t>
      </w:r>
    </w:p>
    <w:p>
      <w:pPr>
        <w:spacing w:after="140" w:line="276"/>
      </w:pPr>
      <w:r>
        <w:rPr>
          <w:sz w:val="22"/>
          <w:szCs w:val="22"/>
        </w:rPr>
        <w:t xml:space="preserve">Compliance is measured through automated entitlement monitoring, recertification completion, leaver revocation timeliness, privileged session reconciliation and internal audit testing. Metrics are reported quarterly to the Executive Risk Committee.</w:t>
      </w:r>
    </w:p>
    <w:p>
      <w:pPr>
        <w:spacing w:after="140" w:line="276"/>
      </w:pPr>
      <w:r>
        <w:rPr>
          <w:sz w:val="22"/>
          <w:szCs w:val="22"/>
        </w:rPr>
        <w:t xml:space="preserve">Sharing credentials, retaining access after a role change, using another worker’s identity, or bypassing the request process is a serious breach of policy and is dealt with under the Disciplinary Procedure.</w:t>
      </w:r>
    </w:p>
    <w:p>
      <w:pPr>
        <w:pStyle w:val="Heading1"/>
        <w:spacing w:after="160" w:before="320"/>
      </w:pPr>
      <w:r>
        <w:t xml:space="preserve">7. Exceptions</w:t>
      </w:r>
    </w:p>
    <w:p>
      <w:pPr>
        <w:spacing w:after="140" w:line="276"/>
      </w:pPr>
      <w:r>
        <w:rPr>
          <w:sz w:val="22"/>
          <w:szCs w:val="22"/>
        </w:rPr>
        <w:t xml:space="preserve">Exceptions must be requested in advance through the Information Security exception process, must specify compensating controls, and are time-bound to a maximum of ninety days before re-application. Exceptions to multi-factor authentication, to leaver revocation timescales, or to the prohibition on standing production privilege are not granted.</w:t>
      </w:r>
    </w:p>
    <w:p>
      <w:pPr>
        <w:pStyle w:val="Heading1"/>
        <w:spacing w:after="160" w:before="320"/>
      </w:pPr>
      <w:r>
        <w:t xml:space="preserve">8. Related documents</w:t>
      </w:r>
    </w:p>
    <w:p>
      <w:pPr>
        <w:pStyle w:val="ListParagraph"/>
        <w:numPr>
          <w:ilvl w:val="0"/>
          <w:numId w:val="2"/>
        </w:numPr>
        <w:spacing w:after="80" w:line="276"/>
      </w:pPr>
      <w:r>
        <w:rPr>
          <w:sz w:val="22"/>
          <w:szCs w:val="22"/>
        </w:rPr>
        <w:t xml:space="preserve">AFT-ISMS-POL-01 — Acceptable Use Policy</w:t>
      </w:r>
    </w:p>
    <w:p>
      <w:pPr>
        <w:pStyle w:val="ListParagraph"/>
        <w:numPr>
          <w:ilvl w:val="0"/>
          <w:numId w:val="2"/>
        </w:numPr>
        <w:spacing w:after="80" w:line="276"/>
      </w:pPr>
      <w:r>
        <w:rPr>
          <w:sz w:val="22"/>
          <w:szCs w:val="22"/>
        </w:rPr>
        <w:t xml:space="preserve">AFT-ISMS-POL-04 — Data Classification and Handling Policy</w:t>
      </w:r>
    </w:p>
    <w:p>
      <w:pPr>
        <w:pStyle w:val="ListParagraph"/>
        <w:numPr>
          <w:ilvl w:val="0"/>
          <w:numId w:val="2"/>
        </w:numPr>
        <w:spacing w:after="80" w:line="276"/>
      </w:pPr>
      <w:r>
        <w:rPr>
          <w:sz w:val="22"/>
          <w:szCs w:val="22"/>
        </w:rPr>
        <w:t xml:space="preserve">AFT-ISMS-STD-02 — Authentication and Credential Standard (holds all authentication parameters)</w:t>
      </w:r>
    </w:p>
    <w:p>
      <w:pPr>
        <w:pStyle w:val="ListParagraph"/>
        <w:numPr>
          <w:ilvl w:val="0"/>
          <w:numId w:val="2"/>
        </w:numPr>
        <w:spacing w:after="80" w:line="276"/>
      </w:pPr>
      <w:r>
        <w:rPr>
          <w:sz w:val="22"/>
          <w:szCs w:val="22"/>
        </w:rPr>
        <w:t xml:space="preserve">AFT-ISMS-STD-06 — Privileged Access Management Standard</w:t>
      </w:r>
    </w:p>
    <w:p>
      <w:pPr>
        <w:pStyle w:val="ListParagraph"/>
        <w:numPr>
          <w:ilvl w:val="0"/>
          <w:numId w:val="2"/>
        </w:numPr>
        <w:spacing w:after="80" w:line="276"/>
      </w:pPr>
      <w:r>
        <w:rPr>
          <w:sz w:val="22"/>
          <w:szCs w:val="22"/>
        </w:rPr>
        <w:t xml:space="preserve">AFT-ISMS-STD-09 — Cryptographic Key Management Standard</w:t>
      </w:r>
    </w:p>
    <w:p>
      <w:pPr>
        <w:pStyle w:val="ListParagraph"/>
        <w:numPr>
          <w:ilvl w:val="0"/>
          <w:numId w:val="2"/>
        </w:numPr>
        <w:spacing w:after="80" w:line="276"/>
      </w:pPr>
      <w:r>
        <w:rPr>
          <w:sz w:val="22"/>
          <w:szCs w:val="22"/>
        </w:rPr>
        <w:t xml:space="preserve">AFT-ISMS-PRO-03 — Joiner, Mover and Leaver Procedure</w:t>
      </w:r>
    </w:p>
    <w:p>
      <w:pPr>
        <w:pStyle w:val="Heading1"/>
        <w:spacing w:after="160" w:before="320"/>
      </w:pPr>
      <w:r>
        <w:t xml:space="preserve">9. Standards mapping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360"/>
        <w:gridCol w:w="2600"/>
      </w:tblGrid>
      <w:tr>
        <w:trPr>
          <w:tblHeader/>
        </w:trPr>
        <w:tc>
          <w:tcPr>
            <w:tcW w:type="dxa" w:w="2400"/>
            <w:shd w:fill="E7EAF0" w:color="auto" w:val="clear"/>
            <w:tcMar>
              <w:top w:type="dxa" w:w="90"/>
              <w:left w:type="dxa" w:w="130"/>
              <w:bottom w:type="dxa" w:w="90"/>
              <w:right w:type="dxa" w:w="130"/>
            </w:tcMar>
          </w:tcPr>
          <w:p>
            <w:pPr>
              <w:spacing w:after="0" w:line="260"/>
            </w:pPr>
            <w:r>
              <w:rPr>
                <w:b/>
                <w:bCs/>
                <w:sz w:val="20"/>
                <w:szCs w:val="20"/>
              </w:rPr>
              <w:t xml:space="preserve">Framework</w:t>
            </w:r>
          </w:p>
        </w:tc>
        <w:tc>
          <w:tcPr>
            <w:tcW w:type="dxa" w:w="4360"/>
            <w:shd w:fill="E7EAF0" w:color="auto" w:val="clear"/>
            <w:tcMar>
              <w:top w:type="dxa" w:w="90"/>
              <w:left w:type="dxa" w:w="130"/>
              <w:bottom w:type="dxa" w:w="90"/>
              <w:right w:type="dxa" w:w="130"/>
            </w:tcMar>
          </w:tcPr>
          <w:p>
            <w:pPr>
              <w:spacing w:after="0" w:line="260"/>
            </w:pPr>
            <w:r>
              <w:rPr>
                <w:b/>
                <w:bCs/>
                <w:sz w:val="20"/>
                <w:szCs w:val="20"/>
              </w:rPr>
              <w:t xml:space="preserve">Reference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Control theme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A.5.15</w:t>
            </w:r>
          </w:p>
        </w:tc>
        <w:tc>
          <w:tcPr>
            <w:tcW w:type="dxa" w:w="2600"/>
            <w:tcMar>
              <w:top w:type="dxa" w:w="90"/>
              <w:left w:type="dxa" w:w="130"/>
              <w:bottom w:type="dxa" w:w="90"/>
              <w:right w:type="dxa" w:w="130"/>
            </w:tcMar>
          </w:tcPr>
          <w:p>
            <w:pPr>
              <w:spacing w:after="0" w:line="260"/>
            </w:pPr>
            <w:r>
              <w:rPr>
                <w:b w:val="false"/>
                <w:bCs w:val="false"/>
                <w:sz w:val="20"/>
                <w:szCs w:val="20"/>
              </w:rPr>
              <w:t xml:space="preserve">Access control</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A.5.16, A.5.17</w:t>
            </w:r>
          </w:p>
        </w:tc>
        <w:tc>
          <w:tcPr>
            <w:tcW w:type="dxa" w:w="2600"/>
            <w:tcMar>
              <w:top w:type="dxa" w:w="90"/>
              <w:left w:type="dxa" w:w="130"/>
              <w:bottom w:type="dxa" w:w="90"/>
              <w:right w:type="dxa" w:w="130"/>
            </w:tcMar>
          </w:tcPr>
          <w:p>
            <w:pPr>
              <w:spacing w:after="0" w:line="260"/>
            </w:pPr>
            <w:r>
              <w:rPr>
                <w:b w:val="false"/>
                <w:bCs w:val="false"/>
                <w:sz w:val="20"/>
                <w:szCs w:val="20"/>
              </w:rPr>
              <w:t xml:space="preserve">Identity management; authentication information</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A.5.18</w:t>
            </w:r>
          </w:p>
        </w:tc>
        <w:tc>
          <w:tcPr>
            <w:tcW w:type="dxa" w:w="2600"/>
            <w:tcMar>
              <w:top w:type="dxa" w:w="90"/>
              <w:left w:type="dxa" w:w="130"/>
              <w:bottom w:type="dxa" w:w="90"/>
              <w:right w:type="dxa" w:w="130"/>
            </w:tcMar>
          </w:tcPr>
          <w:p>
            <w:pPr>
              <w:spacing w:after="0" w:line="260"/>
            </w:pPr>
            <w:r>
              <w:rPr>
                <w:b w:val="false"/>
                <w:bCs w:val="false"/>
                <w:sz w:val="20"/>
                <w:szCs w:val="20"/>
              </w:rPr>
              <w:t xml:space="preserve">Access rights — provisioning, review and removal</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A.5.3</w:t>
            </w:r>
          </w:p>
        </w:tc>
        <w:tc>
          <w:tcPr>
            <w:tcW w:type="dxa" w:w="2600"/>
            <w:tcMar>
              <w:top w:type="dxa" w:w="90"/>
              <w:left w:type="dxa" w:w="130"/>
              <w:bottom w:type="dxa" w:w="90"/>
              <w:right w:type="dxa" w:w="130"/>
            </w:tcMar>
          </w:tcPr>
          <w:p>
            <w:pPr>
              <w:spacing w:after="0" w:line="260"/>
            </w:pPr>
            <w:r>
              <w:rPr>
                <w:b w:val="false"/>
                <w:bCs w:val="false"/>
                <w:sz w:val="20"/>
                <w:szCs w:val="20"/>
              </w:rPr>
              <w:t xml:space="preserve">Segregation of duties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A.7.1–A.7.4</w:t>
            </w:r>
          </w:p>
        </w:tc>
        <w:tc>
          <w:tcPr>
            <w:tcW w:type="dxa" w:w="2600"/>
            <w:tcMar>
              <w:top w:type="dxa" w:w="90"/>
              <w:left w:type="dxa" w:w="130"/>
              <w:bottom w:type="dxa" w:w="90"/>
              <w:right w:type="dxa" w:w="130"/>
            </w:tcMar>
          </w:tcPr>
          <w:p>
            <w:pPr>
              <w:spacing w:after="0" w:line="260"/>
            </w:pPr>
            <w:r>
              <w:rPr>
                <w:b w:val="false"/>
                <w:bCs w:val="false"/>
                <w:sz w:val="20"/>
                <w:szCs w:val="20"/>
              </w:rPr>
              <w:t xml:space="preserve">Physical perimeter, entry, securing areas, monitoring</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A.8.2, A.8.3, A.8.4, A.8.5</w:t>
            </w:r>
          </w:p>
        </w:tc>
        <w:tc>
          <w:tcPr>
            <w:tcW w:type="dxa" w:w="2600"/>
            <w:tcMar>
              <w:top w:type="dxa" w:w="90"/>
              <w:left w:type="dxa" w:w="130"/>
              <w:bottom w:type="dxa" w:w="90"/>
              <w:right w:type="dxa" w:w="130"/>
            </w:tcMar>
          </w:tcPr>
          <w:p>
            <w:pPr>
              <w:spacing w:after="0" w:line="260"/>
            </w:pPr>
            <w:r>
              <w:rPr>
                <w:b w:val="false"/>
                <w:bCs w:val="false"/>
                <w:sz w:val="20"/>
                <w:szCs w:val="20"/>
              </w:rPr>
              <w:t xml:space="preserve">Privileged access; information access restriction; source code access; secure authentication</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A.8.20, A.8.22</w:t>
            </w:r>
          </w:p>
        </w:tc>
        <w:tc>
          <w:tcPr>
            <w:tcW w:type="dxa" w:w="2600"/>
            <w:tcMar>
              <w:top w:type="dxa" w:w="90"/>
              <w:left w:type="dxa" w:w="130"/>
              <w:bottom w:type="dxa" w:w="90"/>
              <w:right w:type="dxa" w:w="130"/>
            </w:tcMar>
          </w:tcPr>
          <w:p>
            <w:pPr>
              <w:spacing w:after="0" w:line="260"/>
            </w:pPr>
            <w:r>
              <w:rPr>
                <w:b w:val="false"/>
                <w:bCs w:val="false"/>
                <w:sz w:val="20"/>
                <w:szCs w:val="20"/>
              </w:rPr>
              <w:t xml:space="preserve">Network security; segregation of networks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NIST CSF 2.0</w:t>
            </w:r>
          </w:p>
        </w:tc>
        <w:tc>
          <w:tcPr>
            <w:tcW w:type="dxa" w:w="4360"/>
            <w:tcMar>
              <w:top w:type="dxa" w:w="90"/>
              <w:left w:type="dxa" w:w="130"/>
              <w:bottom w:type="dxa" w:w="90"/>
              <w:right w:type="dxa" w:w="130"/>
            </w:tcMar>
          </w:tcPr>
          <w:p>
            <w:pPr>
              <w:spacing w:after="0" w:line="260"/>
            </w:pPr>
            <w:r>
              <w:rPr>
                <w:b w:val="false"/>
                <w:bCs w:val="false"/>
                <w:sz w:val="20"/>
                <w:szCs w:val="20"/>
              </w:rPr>
              <w:t xml:space="preserve">PR.AA-01 to PR.AA-06</w:t>
            </w:r>
          </w:p>
        </w:tc>
        <w:tc>
          <w:tcPr>
            <w:tcW w:type="dxa" w:w="2600"/>
            <w:tcMar>
              <w:top w:type="dxa" w:w="90"/>
              <w:left w:type="dxa" w:w="130"/>
              <w:bottom w:type="dxa" w:w="90"/>
              <w:right w:type="dxa" w:w="130"/>
            </w:tcMar>
          </w:tcPr>
          <w:p>
            <w:pPr>
              <w:spacing w:after="0" w:line="260"/>
            </w:pPr>
            <w:r>
              <w:rPr>
                <w:b w:val="false"/>
                <w:bCs w:val="false"/>
                <w:sz w:val="20"/>
                <w:szCs w:val="20"/>
              </w:rPr>
              <w:t xml:space="preserve">Identity, credential and access management</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PCI DSS v4.0</w:t>
            </w:r>
          </w:p>
        </w:tc>
        <w:tc>
          <w:tcPr>
            <w:tcW w:type="dxa" w:w="4360"/>
            <w:tcMar>
              <w:top w:type="dxa" w:w="90"/>
              <w:left w:type="dxa" w:w="130"/>
              <w:bottom w:type="dxa" w:w="90"/>
              <w:right w:type="dxa" w:w="130"/>
            </w:tcMar>
          </w:tcPr>
          <w:p>
            <w:pPr>
              <w:spacing w:after="0" w:line="260"/>
            </w:pPr>
            <w:r>
              <w:rPr>
                <w:b w:val="false"/>
                <w:bCs w:val="false"/>
                <w:sz w:val="20"/>
                <w:szCs w:val="20"/>
              </w:rPr>
              <w:t xml:space="preserve">Requirements 7, 8, 9</w:t>
            </w:r>
          </w:p>
        </w:tc>
        <w:tc>
          <w:tcPr>
            <w:tcW w:type="dxa" w:w="2600"/>
            <w:tcMar>
              <w:top w:type="dxa" w:w="90"/>
              <w:left w:type="dxa" w:w="130"/>
              <w:bottom w:type="dxa" w:w="90"/>
              <w:right w:type="dxa" w:w="130"/>
            </w:tcMar>
          </w:tcPr>
          <w:p>
            <w:pPr>
              <w:spacing w:after="0" w:line="260"/>
            </w:pPr>
            <w:r>
              <w:rPr>
                <w:b w:val="false"/>
                <w:bCs w:val="false"/>
                <w:sz w:val="20"/>
                <w:szCs w:val="20"/>
              </w:rPr>
              <w:t xml:space="preserve">Access restriction, identification and authentication, physical access</w:t>
            </w:r>
          </w:p>
        </w:tc>
      </w:tr>
    </w:tbl>
    <w:p>
      <w:pPr>
        <w:pStyle w:val="Heading1"/>
        <w:spacing w:after="160" w:before="320"/>
      </w:pPr>
      <w:r>
        <w:t xml:space="preserve">10. Revision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900"/>
        <w:gridCol w:w="2600"/>
        <w:gridCol w:w="3660"/>
      </w:tblGrid>
      <w:tr>
        <w:trPr>
          <w:tblHeader/>
        </w:trPr>
        <w:tc>
          <w:tcPr>
            <w:tcW w:type="dxa" w:w="1200"/>
            <w:shd w:fill="E7EAF0" w:color="auto" w:val="clear"/>
            <w:tcMar>
              <w:top w:type="dxa" w:w="90"/>
              <w:left w:type="dxa" w:w="130"/>
              <w:bottom w:type="dxa" w:w="90"/>
              <w:right w:type="dxa" w:w="130"/>
            </w:tcMar>
          </w:tcPr>
          <w:p>
            <w:pPr>
              <w:spacing w:after="0" w:line="260"/>
            </w:pPr>
            <w:r>
              <w:rPr>
                <w:b/>
                <w:bCs/>
                <w:sz w:val="20"/>
                <w:szCs w:val="20"/>
              </w:rPr>
              <w:t xml:space="preserve">Version</w:t>
            </w:r>
          </w:p>
        </w:tc>
        <w:tc>
          <w:tcPr>
            <w:tcW w:type="dxa" w:w="1900"/>
            <w:shd w:fill="E7EAF0" w:color="auto" w:val="clear"/>
            <w:tcMar>
              <w:top w:type="dxa" w:w="90"/>
              <w:left w:type="dxa" w:w="130"/>
              <w:bottom w:type="dxa" w:w="90"/>
              <w:right w:type="dxa" w:w="130"/>
            </w:tcMar>
          </w:tcPr>
          <w:p>
            <w:pPr>
              <w:spacing w:after="0" w:line="260"/>
            </w:pPr>
            <w:r>
              <w:rPr>
                <w:b/>
                <w:bCs/>
                <w:sz w:val="20"/>
                <w:szCs w:val="20"/>
              </w:rPr>
              <w:t xml:space="preserve">Date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Author</w:t>
            </w:r>
          </w:p>
        </w:tc>
        <w:tc>
          <w:tcPr>
            <w:tcW w:type="dxa" w:w="3660"/>
            <w:shd w:fill="E7EAF0" w:color="auto" w:val="clear"/>
            <w:tcMar>
              <w:top w:type="dxa" w:w="90"/>
              <w:left w:type="dxa" w:w="130"/>
              <w:bottom w:type="dxa" w:w="90"/>
              <w:right w:type="dxa" w:w="130"/>
            </w:tcMar>
          </w:tcPr>
          <w:p>
            <w:pPr>
              <w:spacing w:after="0" w:line="260"/>
            </w:pPr>
            <w:r>
              <w:rPr>
                <w:b/>
                <w:bCs/>
                <w:sz w:val="20"/>
                <w:szCs w:val="20"/>
              </w:rPr>
              <w:t xml:space="preserve">Summary of change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1.0</w:t>
            </w:r>
          </w:p>
        </w:tc>
        <w:tc>
          <w:tcPr>
            <w:tcW w:type="dxa" w:w="1900"/>
            <w:tcMar>
              <w:top w:type="dxa" w:w="90"/>
              <w:left w:type="dxa" w:w="130"/>
              <w:bottom w:type="dxa" w:w="90"/>
              <w:right w:type="dxa" w:w="130"/>
            </w:tcMar>
          </w:tcPr>
          <w:p>
            <w:pPr>
              <w:spacing w:after="0" w:line="260"/>
            </w:pPr>
            <w:r>
              <w:rPr>
                <w:b w:val="false"/>
                <w:bCs w:val="false"/>
                <w:sz w:val="20"/>
                <w:szCs w:val="20"/>
              </w:rPr>
              <w:t xml:space="preserve">14 March 2023</w:t>
            </w:r>
          </w:p>
        </w:tc>
        <w:tc>
          <w:tcPr>
            <w:tcW w:type="dxa" w:w="2600"/>
            <w:tcMar>
              <w:top w:type="dxa" w:w="90"/>
              <w:left w:type="dxa" w:w="130"/>
              <w:bottom w:type="dxa" w:w="90"/>
              <w:right w:type="dxa" w:w="130"/>
            </w:tcMar>
          </w:tcPr>
          <w:p>
            <w:pPr>
              <w:spacing w:after="0" w:line="260"/>
            </w:pPr>
            <w:r>
              <w:rPr>
                <w:b w:val="false"/>
                <w:bCs w:val="false"/>
                <w:sz w:val="20"/>
                <w:szCs w:val="20"/>
              </w:rPr>
              <w:t xml:space="preserve">Head of Security Governance</w:t>
            </w:r>
          </w:p>
        </w:tc>
        <w:tc>
          <w:tcPr>
            <w:tcW w:type="dxa" w:w="3660"/>
            <w:tcMar>
              <w:top w:type="dxa" w:w="90"/>
              <w:left w:type="dxa" w:w="130"/>
              <w:bottom w:type="dxa" w:w="90"/>
              <w:right w:type="dxa" w:w="130"/>
            </w:tcMar>
          </w:tcPr>
          <w:p>
            <w:pPr>
              <w:spacing w:after="0" w:line="260"/>
            </w:pPr>
            <w:r>
              <w:rPr>
                <w:b w:val="false"/>
                <w:bCs w:val="false"/>
                <w:sz w:val="20"/>
                <w:szCs w:val="20"/>
              </w:rPr>
              <w:t xml:space="preserve">Initial issue.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2.0</w:t>
            </w:r>
          </w:p>
        </w:tc>
        <w:tc>
          <w:tcPr>
            <w:tcW w:type="dxa" w:w="1900"/>
            <w:tcMar>
              <w:top w:type="dxa" w:w="90"/>
              <w:left w:type="dxa" w:w="130"/>
              <w:bottom w:type="dxa" w:w="90"/>
              <w:right w:type="dxa" w:w="130"/>
            </w:tcMar>
          </w:tcPr>
          <w:p>
            <w:pPr>
              <w:spacing w:after="0" w:line="260"/>
            </w:pPr>
            <w:r>
              <w:rPr>
                <w:b w:val="false"/>
                <w:bCs w:val="false"/>
                <w:sz w:val="20"/>
                <w:szCs w:val="20"/>
              </w:rPr>
              <w:t xml:space="preserve">18 June 2025</w:t>
            </w:r>
          </w:p>
        </w:tc>
        <w:tc>
          <w:tcPr>
            <w:tcW w:type="dxa" w:w="2600"/>
            <w:tcMar>
              <w:top w:type="dxa" w:w="90"/>
              <w:left w:type="dxa" w:w="130"/>
              <w:bottom w:type="dxa" w:w="90"/>
              <w:right w:type="dxa" w:w="130"/>
            </w:tcMar>
          </w:tcPr>
          <w:p>
            <w:pPr>
              <w:spacing w:after="0" w:line="260"/>
            </w:pPr>
            <w:r>
              <w:rPr>
                <w:b w:val="false"/>
                <w:bCs w:val="false"/>
                <w:sz w:val="20"/>
                <w:szCs w:val="20"/>
              </w:rPr>
              <w:t xml:space="preserve">Head of Identity and Access</w:t>
            </w:r>
          </w:p>
        </w:tc>
        <w:tc>
          <w:tcPr>
            <w:tcW w:type="dxa" w:w="3660"/>
            <w:tcMar>
              <w:top w:type="dxa" w:w="90"/>
              <w:left w:type="dxa" w:w="130"/>
              <w:bottom w:type="dxa" w:w="90"/>
              <w:right w:type="dxa" w:w="130"/>
            </w:tcMar>
          </w:tcPr>
          <w:p>
            <w:pPr>
              <w:spacing w:after="0" w:line="260"/>
            </w:pPr>
            <w:r>
              <w:rPr>
                <w:b w:val="false"/>
                <w:bCs w:val="false"/>
                <w:sz w:val="20"/>
                <w:szCs w:val="20"/>
              </w:rPr>
              <w:t xml:space="preserve">Introduced just-in-time privileged access; removed routine password expiry.</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2.1</w:t>
            </w:r>
          </w:p>
        </w:tc>
        <w:tc>
          <w:tcPr>
            <w:tcW w:type="dxa" w:w="1900"/>
            <w:tcMar>
              <w:top w:type="dxa" w:w="90"/>
              <w:left w:type="dxa" w:w="130"/>
              <w:bottom w:type="dxa" w:w="90"/>
              <w:right w:type="dxa" w:w="130"/>
            </w:tcMar>
          </w:tcPr>
          <w:p>
            <w:pPr>
              <w:spacing w:after="0" w:line="260"/>
            </w:pPr>
            <w:r>
              <w:rPr>
                <w:b w:val="false"/>
                <w:bCs w:val="false"/>
                <w:sz w:val="20"/>
                <w:szCs w:val="20"/>
              </w:rPr>
              <w:t xml:space="preserve">3 February 2026</w:t>
            </w:r>
          </w:p>
        </w:tc>
        <w:tc>
          <w:tcPr>
            <w:tcW w:type="dxa" w:w="2600"/>
            <w:tcMar>
              <w:top w:type="dxa" w:w="90"/>
              <w:left w:type="dxa" w:w="130"/>
              <w:bottom w:type="dxa" w:w="90"/>
              <w:right w:type="dxa" w:w="130"/>
            </w:tcMar>
          </w:tcPr>
          <w:p>
            <w:pPr>
              <w:spacing w:after="0" w:line="260"/>
            </w:pPr>
            <w:r>
              <w:rPr>
                <w:b w:val="false"/>
                <w:bCs w:val="false"/>
                <w:sz w:val="20"/>
                <w:szCs w:val="20"/>
              </w:rPr>
              <w:t xml:space="preserve">Head of Identity and Access</w:t>
            </w:r>
          </w:p>
        </w:tc>
        <w:tc>
          <w:tcPr>
            <w:tcW w:type="dxa" w:w="3660"/>
            <w:tcMar>
              <w:top w:type="dxa" w:w="90"/>
              <w:left w:type="dxa" w:w="130"/>
              <w:bottom w:type="dxa" w:w="90"/>
              <w:right w:type="dxa" w:w="130"/>
            </w:tcMar>
          </w:tcPr>
          <w:p>
            <w:pPr>
              <w:spacing w:after="0" w:line="260"/>
            </w:pPr>
            <w:r>
              <w:rPr>
                <w:b w:val="false"/>
                <w:bCs w:val="false"/>
                <w:sz w:val="20"/>
                <w:szCs w:val="20"/>
              </w:rPr>
              <w:t xml:space="preserve">Added zero trust remote access provisions; tightened dormancy thresholds.</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2.2</w:t>
            </w:r>
          </w:p>
        </w:tc>
        <w:tc>
          <w:tcPr>
            <w:tcW w:type="dxa" w:w="190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3660"/>
            <w:tcMar>
              <w:top w:type="dxa" w:w="90"/>
              <w:left w:type="dxa" w:w="130"/>
              <w:bottom w:type="dxa" w:w="90"/>
              <w:right w:type="dxa" w:w="130"/>
            </w:tcMar>
          </w:tcPr>
          <w:p>
            <w:pPr>
              <w:spacing w:after="0" w:line="260"/>
            </w:pPr>
            <w:r>
              <w:rPr>
                <w:b w:val="false"/>
                <w:bCs w:val="false"/>
                <w:sz w:val="20"/>
                <w:szCs w:val="20"/>
              </w:rPr>
              <w:t xml:space="preserve">Mandated phishing-resistant authentication for privileged access; added privileged access workstation requirement; monthly recertification for the cardholder data environment.</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3.0</w:t>
            </w:r>
          </w:p>
        </w:tc>
        <w:tc>
          <w:tcPr>
            <w:tcW w:type="dxa" w:w="190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3660"/>
            <w:tcMar>
              <w:top w:type="dxa" w:w="90"/>
              <w:left w:type="dxa" w:w="130"/>
              <w:bottom w:type="dxa" w:w="90"/>
              <w:right w:type="dxa" w:w="130"/>
            </w:tcMar>
          </w:tcPr>
          <w:p>
            <w:pPr>
              <w:spacing w:after="0" w:line="260"/>
            </w:pPr>
            <w:r>
              <w:rPr>
                <w:b w:val="false"/>
                <w:bCs w:val="false"/>
                <w:sz w:val="20"/>
                <w:szCs w:val="20"/>
              </w:rPr>
              <w:t xml:space="preserve">Authentication and credential parameters removed from sections 4.4 and 4.7 and relocated to AFT-ISMS-STD-02, correcting a tier assignment error. The obligations are unchanged; only the document that holds the numbers has changed. Added a credential reset verification obligation.</w:t>
            </w:r>
          </w:p>
        </w:tc>
      </w:tr>
    </w:tbl>
    <w:sectPr>
      <w:headerReference w:type="default" r:id="rId7"/>
      <w:footerReference w:type="default" r:id="rId8"/>
      <w:pgSz w:w="12240" w:h="15840" w:orient="portrait"/>
      <w:pgMar w:top="1180" w:right="1440" w:bottom="110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60"/>
    </w:pPr>
    <w:r>
      <w:rPr>
        <w:color w:val="44546A"/>
        <w:sz w:val="16"/>
        <w:szCs w:val="16"/>
      </w:rPr>
      <w:t xml:space="preserve">AFT-ISMS-POL-03  ·  Internal</w:t>
    </w:r>
    <w:r>
      <w:rPr>
        <w:color w:val="44546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b/>
        <w:bCs/>
        <w:color w:val="44546A"/>
        <w:sz w:val="17"/>
        <w:szCs w:val="17"/>
      </w:rPr>
      <w:t xml:space="preserve">Aldridge Financial Technologies</w:t>
    </w:r>
    <w:r>
      <w:rPr>
        <w:color w:val="44546A"/>
        <w:sz w:val="17"/>
        <w:szCs w:val="17"/>
      </w:rPr>
      <w:t xml:space="preserve">	Access Control Policy</w:t>
    </w:r>
  </w:p>
  <w:p>
    <w:pPr>
      <w:pBdr>
        <w:bottom w:val="single" w:color="BFBFBF" w:sz="6"/>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44546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Financial Technologies — Access Control Policy</dc:title>
  <dc:creator>Aldridge Financial Technologies — Information Security</dc:creator>
  <dc:description>Information Security Management System — Tier 2 Policy</dc:description>
  <cp:lastModifiedBy>Un-named</cp:lastModifiedBy>
  <cp:revision>1</cp:revision>
  <dcterms:created xsi:type="dcterms:W3CDTF">2026-09-10T01:04:45.989Z</dcterms:created>
  <dcterms:modified xsi:type="dcterms:W3CDTF">2026-09-10T01:04:45.990Z</dcterms:modified>
</cp:coreProperties>
</file>

<file path=docProps/custom.xml><?xml version="1.0" encoding="utf-8"?>
<Properties xmlns="http://schemas.openxmlformats.org/officeDocument/2006/custom-properties" xmlns:vt="http://schemas.openxmlformats.org/officeDocument/2006/docPropsVTypes"/>
</file>