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pacing w:val="24"/>
          <w:sz w:val="19"/>
          <w:szCs w:val="19"/>
        </w:rPr>
        <w:t xml:space="preserve">ALDRIDGE FINANCIAL TECHNOLOGIES</w:t>
      </w:r>
    </w:p>
    <w:p>
      <w:pPr>
        <w:spacing w:after="60"/>
      </w:pPr>
      <w:r>
        <w:rPr>
          <w:b/>
          <w:bCs/>
          <w:color w:val="1F3864"/>
          <w:sz w:val="44"/>
          <w:szCs w:val="44"/>
        </w:rPr>
        <w:t xml:space="preserve">Authentication and Credential Standard</w:t>
      </w:r>
    </w:p>
    <w:p>
      <w:pPr>
        <w:pBdr>
          <w:bottom w:val="single" w:color="1F3864" w:sz="12"/>
        </w:pBdr>
        <w:spacing w:after="240"/>
      </w:pPr>
      <w:r>
        <w:rPr>
          <w:i/>
          <w:iCs/>
          <w:color w:val="44546A"/>
          <w:sz w:val="22"/>
          <w:szCs w:val="22"/>
        </w:rPr>
        <w:t xml:space="preserve">Information Security Management System — Tier 3 Standard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80"/>
        <w:gridCol w:w="2200"/>
        <w:gridCol w:w="2480"/>
      </w:tblGrid>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reference</w:t>
            </w:r>
          </w:p>
        </w:tc>
        <w:tc>
          <w:tcPr>
            <w:tcW w:type="dxa" w:w="2480"/>
            <w:tcMar>
              <w:top w:type="dxa" w:w="90"/>
              <w:left w:type="dxa" w:w="130"/>
              <w:bottom w:type="dxa" w:w="90"/>
              <w:right w:type="dxa" w:w="130"/>
            </w:tcMar>
          </w:tcPr>
          <w:p>
            <w:pPr>
              <w:spacing w:after="0" w:line="260"/>
            </w:pPr>
            <w:r>
              <w:rPr>
                <w:b w:val="false"/>
                <w:bCs w:val="false"/>
                <w:sz w:val="20"/>
                <w:szCs w:val="20"/>
              </w:rPr>
              <w:t xml:space="preserve">AFT-ISMS-STD-02</w:t>
            </w:r>
          </w:p>
        </w:tc>
        <w:tc>
          <w:tcPr>
            <w:tcW w:type="dxa" w:w="2200"/>
            <w:tcMar>
              <w:top w:type="dxa" w:w="90"/>
              <w:left w:type="dxa" w:w="130"/>
              <w:bottom w:type="dxa" w:w="90"/>
              <w:right w:type="dxa" w:w="130"/>
            </w:tcMar>
          </w:tcPr>
          <w:p>
            <w:pPr>
              <w:spacing w:after="0" w:line="260"/>
            </w:pPr>
            <w:r>
              <w:rPr>
                <w:b w:val="false"/>
                <w:bCs w:val="false"/>
                <w:sz w:val="20"/>
                <w:szCs w:val="20"/>
              </w:rPr>
              <w:t xml:space="preserve">Version</w:t>
            </w:r>
          </w:p>
        </w:tc>
        <w:tc>
          <w:tcPr>
            <w:tcW w:type="dxa" w:w="2480"/>
            <w:tcMar>
              <w:top w:type="dxa" w:w="90"/>
              <w:left w:type="dxa" w:w="130"/>
              <w:bottom w:type="dxa" w:w="90"/>
              <w:right w:type="dxa" w:w="130"/>
            </w:tcMar>
          </w:tcPr>
          <w:p>
            <w:pPr>
              <w:spacing w:after="0" w:line="260"/>
            </w:pPr>
            <w:r>
              <w:rPr>
                <w:b w:val="false"/>
                <w:bCs w:val="false"/>
                <w:sz w:val="20"/>
                <w:szCs w:val="20"/>
              </w:rPr>
              <w:t xml:space="preserve">1.0</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Document owner</w:t>
            </w:r>
          </w:p>
        </w:tc>
        <w:tc>
          <w:tcPr>
            <w:tcW w:type="dxa" w:w="2480"/>
            <w:tcMar>
              <w:top w:type="dxa" w:w="90"/>
              <w:left w:type="dxa" w:w="130"/>
              <w:bottom w:type="dxa" w:w="90"/>
              <w:right w:type="dxa" w:w="130"/>
            </w:tcMar>
          </w:tcPr>
          <w:p>
            <w:pPr>
              <w:spacing w:after="0" w:line="260"/>
            </w:pPr>
            <w:r>
              <w:rPr>
                <w:b w:val="false"/>
                <w:bCs w:val="false"/>
                <w:sz w:val="20"/>
                <w:szCs w:val="20"/>
              </w:rPr>
              <w:t xml:space="preserve">Head of Identity and Access</w:t>
            </w:r>
          </w:p>
        </w:tc>
        <w:tc>
          <w:tcPr>
            <w:tcW w:type="dxa" w:w="2200"/>
            <w:tcMar>
              <w:top w:type="dxa" w:w="90"/>
              <w:left w:type="dxa" w:w="130"/>
              <w:bottom w:type="dxa" w:w="90"/>
              <w:right w:type="dxa" w:w="130"/>
            </w:tcMar>
          </w:tcPr>
          <w:p>
            <w:pPr>
              <w:spacing w:after="0" w:line="260"/>
            </w:pPr>
            <w:r>
              <w:rPr>
                <w:b w:val="false"/>
                <w:bCs w:val="false"/>
                <w:sz w:val="20"/>
                <w:szCs w:val="20"/>
              </w:rPr>
              <w:t xml:space="preserve">Approved by</w:t>
            </w:r>
          </w:p>
        </w:tc>
        <w:tc>
          <w:tcPr>
            <w:tcW w:type="dxa" w:w="2480"/>
            <w:tcMar>
              <w:top w:type="dxa" w:w="90"/>
              <w:left w:type="dxa" w:w="130"/>
              <w:bottom w:type="dxa" w:w="90"/>
              <w:right w:type="dxa" w:w="130"/>
            </w:tcMar>
          </w:tcPr>
          <w:p>
            <w:pPr>
              <w:spacing w:after="0" w:line="260"/>
            </w:pPr>
            <w:r>
              <w:rPr>
                <w:b w:val="false"/>
                <w:bCs w:val="false"/>
                <w:sz w:val="20"/>
                <w:szCs w:val="20"/>
              </w:rPr>
              <w:t xml:space="preserve">Chief Information Security Officer</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Effective date</w:t>
            </w:r>
          </w:p>
        </w:tc>
        <w:tc>
          <w:tcPr>
            <w:tcW w:type="dxa" w:w="248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200"/>
            <w:tcMar>
              <w:top w:type="dxa" w:w="90"/>
              <w:left w:type="dxa" w:w="130"/>
              <w:bottom w:type="dxa" w:w="90"/>
              <w:right w:type="dxa" w:w="130"/>
            </w:tcMar>
          </w:tcPr>
          <w:p>
            <w:pPr>
              <w:spacing w:after="0" w:line="260"/>
            </w:pPr>
            <w:r>
              <w:rPr>
                <w:b w:val="false"/>
                <w:bCs w:val="false"/>
                <w:sz w:val="20"/>
                <w:szCs w:val="20"/>
              </w:rPr>
              <w:t xml:space="preserve">Next review</w:t>
            </w:r>
          </w:p>
        </w:tc>
        <w:tc>
          <w:tcPr>
            <w:tcW w:type="dxa" w:w="2480"/>
            <w:tcMar>
              <w:top w:type="dxa" w:w="90"/>
              <w:left w:type="dxa" w:w="130"/>
              <w:bottom w:type="dxa" w:w="90"/>
              <w:right w:type="dxa" w:w="130"/>
            </w:tcMar>
          </w:tcPr>
          <w:p>
            <w:pPr>
              <w:spacing w:after="0" w:line="260"/>
            </w:pPr>
            <w:r>
              <w:rPr>
                <w:b w:val="false"/>
                <w:bCs w:val="false"/>
                <w:sz w:val="20"/>
                <w:szCs w:val="20"/>
              </w:rPr>
              <w:t xml:space="preserve">1 April 2027</w:t>
            </w:r>
          </w:p>
        </w:tc>
      </w:tr>
      <w:tr>
        <w:trPr>
          <w:tblHeader w:val="false"/>
        </w:trPr>
        <w:tc>
          <w:tcPr>
            <w:tcW w:type="dxa" w:w="2200"/>
            <w:tcMar>
              <w:top w:type="dxa" w:w="90"/>
              <w:left w:type="dxa" w:w="130"/>
              <w:bottom w:type="dxa" w:w="90"/>
              <w:right w:type="dxa" w:w="130"/>
            </w:tcMar>
          </w:tcPr>
          <w:p>
            <w:pPr>
              <w:spacing w:after="0" w:line="260"/>
            </w:pPr>
            <w:r>
              <w:rPr>
                <w:b w:val="false"/>
                <w:bCs w:val="false"/>
                <w:sz w:val="20"/>
                <w:szCs w:val="20"/>
              </w:rPr>
              <w:t xml:space="preserve">Classification</w:t>
            </w:r>
          </w:p>
        </w:tc>
        <w:tc>
          <w:tcPr>
            <w:tcW w:type="dxa" w:w="2480"/>
            <w:tcMar>
              <w:top w:type="dxa" w:w="90"/>
              <w:left w:type="dxa" w:w="130"/>
              <w:bottom w:type="dxa" w:w="90"/>
              <w:right w:type="dxa" w:w="130"/>
            </w:tcMar>
          </w:tcPr>
          <w:p>
            <w:pPr>
              <w:spacing w:after="0" w:line="260"/>
            </w:pPr>
            <w:r>
              <w:rPr>
                <w:b w:val="false"/>
                <w:bCs w:val="false"/>
                <w:sz w:val="20"/>
                <w:szCs w:val="20"/>
              </w:rPr>
              <w:t xml:space="preserve">Internal</w:t>
            </w:r>
          </w:p>
        </w:tc>
        <w:tc>
          <w:tcPr>
            <w:tcW w:type="dxa" w:w="2200"/>
            <w:tcMar>
              <w:top w:type="dxa" w:w="90"/>
              <w:left w:type="dxa" w:w="130"/>
              <w:bottom w:type="dxa" w:w="90"/>
              <w:right w:type="dxa" w:w="130"/>
            </w:tcMar>
          </w:tcPr>
          <w:p>
            <w:pPr>
              <w:spacing w:after="0" w:line="260"/>
            </w:pPr>
            <w:r>
              <w:rPr>
                <w:b w:val="false"/>
                <w:bCs w:val="false"/>
                <w:sz w:val="20"/>
                <w:szCs w:val="20"/>
              </w:rPr>
              <w:t xml:space="preserve">Applies to</w:t>
            </w:r>
          </w:p>
        </w:tc>
        <w:tc>
          <w:tcPr>
            <w:tcW w:type="dxa" w:w="2480"/>
            <w:tcMar>
              <w:top w:type="dxa" w:w="90"/>
              <w:left w:type="dxa" w:w="130"/>
              <w:bottom w:type="dxa" w:w="90"/>
              <w:right w:type="dxa" w:w="130"/>
            </w:tcMar>
          </w:tcPr>
          <w:p>
            <w:pPr>
              <w:spacing w:after="0" w:line="260"/>
            </w:pPr>
            <w:r>
              <w:rPr>
                <w:b w:val="false"/>
                <w:bCs w:val="false"/>
                <w:sz w:val="20"/>
                <w:szCs w:val="20"/>
              </w:rPr>
              <w:t xml:space="preserve">All systems and all workers</w:t>
            </w:r>
          </w:p>
        </w:tc>
      </w:tr>
    </w:tbl>
    <w:p>
      <w:pPr>
        <w:spacing w:after="240"/>
      </w:pPr>
    </w:p>
    <w:p>
      <w:pPr>
        <w:pStyle w:val="Heading2"/>
        <w:spacing w:after="12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pPr>
    </w:p>
    <w:p>
      <w:pPr>
        <w:pStyle w:val="Heading1"/>
        <w:spacing w:after="160" w:before="320"/>
      </w:pPr>
      <w:r>
        <w:t xml:space="preserve">1. Purpose and status</w:t>
      </w:r>
    </w:p>
    <w:p>
      <w:pPr>
        <w:spacing w:after="140" w:line="276"/>
      </w:pPr>
      <w:r>
        <w:rPr>
          <w:sz w:val="22"/>
          <w:szCs w:val="22"/>
        </w:rPr>
        <w:t xml:space="preserve">This standard sets the authentication and credential parameters that give effect to the principles in AFT-ISMS-POL-03 Access Control Policy. It is a Tier 3 document under the convention in AFT-CTX-01 section 16: policies state obligations and are approved by the Executive Risk Committee; standards hold the parameters and are approved by the Chief Information Security Officer.</w:t>
      </w:r>
    </w:p>
    <w:p>
      <w:pPr>
        <w:spacing w:after="140" w:line="276"/>
      </w:pPr>
      <w:r>
        <w:rPr>
          <w:sz w:val="22"/>
          <w:szCs w:val="22"/>
        </w:rPr>
        <w:t xml:space="preserve">The separation is deliberate. Parameters change as threat and technology change — minimum lengths, timeouts, thresholds, accepted factor types. Holding them in a policy means every such change requires executive re-approval, which in practice means the parameters do not change and drift out of date. Holding them here means they can be revised on a six-month cycle by the person accountable for them.</w:t>
      </w:r>
    </w:p>
    <w:p>
      <w:pPr>
        <w:spacing w:after="140" w:line="276"/>
      </w:pPr>
      <w:r>
        <w:rPr>
          <w:sz w:val="22"/>
          <w:szCs w:val="22"/>
        </w:rPr>
        <w:t xml:space="preserve">Compliance with this standard is mandatory. Where a parameter here conflicts with a parameter stated anywhere else, this standard governs.</w:t>
      </w:r>
    </w:p>
    <w:p>
      <w:pPr>
        <w:pStyle w:val="Heading1"/>
        <w:spacing w:after="160" w:before="320"/>
      </w:pPr>
      <w:r>
        <w:t xml:space="preserve">2. Scope</w:t>
      </w:r>
    </w:p>
    <w:p>
      <w:pPr>
        <w:spacing w:after="140" w:line="276"/>
      </w:pPr>
      <w:r>
        <w:rPr>
          <w:sz w:val="22"/>
          <w:szCs w:val="22"/>
        </w:rPr>
        <w:t xml:space="preserve">All systems processing Aldridge information, all worker accounts, all service and machine accounts, and all third-party accounts granted access to Aldridge systems. Applies to both entities and to systems operated on Aldridge’s behalf by a supplier where the supplier agreement permits Aldridge to set the parameter.</w:t>
      </w:r>
    </w:p>
    <w:p>
      <w:pPr>
        <w:pStyle w:val="Heading1"/>
        <w:spacing w:after="160" w:before="320"/>
      </w:pPr>
      <w:r>
        <w:t xml:space="preserve">3. Authentication factors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400"/>
        <w:gridCol w:w="3360"/>
      </w:tblGrid>
      <w:tr>
        <w:trPr>
          <w:tblHeader/>
        </w:trPr>
        <w:tc>
          <w:tcPr>
            <w:tcW w:type="dxa" w:w="2600"/>
            <w:shd w:fill="E7EAF0" w:color="auto" w:val="clear"/>
            <w:tcMar>
              <w:top w:type="dxa" w:w="90"/>
              <w:left w:type="dxa" w:w="130"/>
              <w:bottom w:type="dxa" w:w="90"/>
              <w:right w:type="dxa" w:w="130"/>
            </w:tcMar>
          </w:tcPr>
          <w:p>
            <w:pPr>
              <w:spacing w:after="0" w:line="260"/>
            </w:pPr>
            <w:r>
              <w:rPr>
                <w:b/>
                <w:bCs/>
                <w:sz w:val="20"/>
                <w:szCs w:val="20"/>
              </w:rPr>
              <w:t xml:space="preserve">Access type</w:t>
            </w:r>
          </w:p>
        </w:tc>
        <w:tc>
          <w:tcPr>
            <w:tcW w:type="dxa" w:w="3400"/>
            <w:shd w:fill="E7EAF0" w:color="auto" w:val="clear"/>
            <w:tcMar>
              <w:top w:type="dxa" w:w="90"/>
              <w:left w:type="dxa" w:w="130"/>
              <w:bottom w:type="dxa" w:w="90"/>
              <w:right w:type="dxa" w:w="130"/>
            </w:tcMar>
          </w:tcPr>
          <w:p>
            <w:pPr>
              <w:spacing w:after="0" w:line="260"/>
            </w:pPr>
            <w:r>
              <w:rPr>
                <w:b/>
                <w:bCs/>
                <w:sz w:val="20"/>
                <w:szCs w:val="20"/>
              </w:rPr>
              <w:t xml:space="preserve">Required factors</w:t>
            </w:r>
          </w:p>
        </w:tc>
        <w:tc>
          <w:tcPr>
            <w:tcW w:type="dxa" w:w="3360"/>
            <w:shd w:fill="E7EAF0" w:color="auto" w:val="clear"/>
            <w:tcMar>
              <w:top w:type="dxa" w:w="90"/>
              <w:left w:type="dxa" w:w="130"/>
              <w:bottom w:type="dxa" w:w="90"/>
              <w:right w:type="dxa" w:w="130"/>
            </w:tcMar>
          </w:tcPr>
          <w:p>
            <w:pPr>
              <w:spacing w:after="0" w:line="260"/>
            </w:pPr>
            <w:r>
              <w:rPr>
                <w:b/>
                <w:bCs/>
                <w:sz w:val="20"/>
                <w:szCs w:val="20"/>
              </w:rPr>
              <w:t xml:space="preserve">Accepted second factor</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Standard worker access</w:t>
            </w:r>
          </w:p>
        </w:tc>
        <w:tc>
          <w:tcPr>
            <w:tcW w:type="dxa" w:w="3400"/>
            <w:tcMar>
              <w:top w:type="dxa" w:w="90"/>
              <w:left w:type="dxa" w:w="130"/>
              <w:bottom w:type="dxa" w:w="90"/>
              <w:right w:type="dxa" w:w="130"/>
            </w:tcMar>
          </w:tcPr>
          <w:p>
            <w:pPr>
              <w:spacing w:after="0" w:line="260"/>
            </w:pPr>
            <w:r>
              <w:rPr>
                <w:b w:val="false"/>
                <w:bCs w:val="false"/>
                <w:sz w:val="20"/>
                <w:szCs w:val="20"/>
              </w:rPr>
              <w:t xml:space="preserve">Password plus second factor, always</w:t>
            </w:r>
          </w:p>
        </w:tc>
        <w:tc>
          <w:tcPr>
            <w:tcW w:type="dxa" w:w="3360"/>
            <w:tcMar>
              <w:top w:type="dxa" w:w="90"/>
              <w:left w:type="dxa" w:w="130"/>
              <w:bottom w:type="dxa" w:w="90"/>
              <w:right w:type="dxa" w:w="130"/>
            </w:tcMar>
          </w:tcPr>
          <w:p>
            <w:pPr>
              <w:spacing w:after="0" w:line="260"/>
            </w:pPr>
            <w:r>
              <w:rPr>
                <w:b w:val="false"/>
                <w:bCs w:val="false"/>
                <w:sz w:val="20"/>
                <w:szCs w:val="20"/>
              </w:rPr>
              <w:t xml:space="preserve">FIDO2 security key, platform passkey, or authenticator app TOTP. Push notification permitted with number matching enabled.</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Privileged and administrative access</w:t>
            </w:r>
          </w:p>
        </w:tc>
        <w:tc>
          <w:tcPr>
            <w:tcW w:type="dxa" w:w="3400"/>
            <w:tcMar>
              <w:top w:type="dxa" w:w="90"/>
              <w:left w:type="dxa" w:w="130"/>
              <w:bottom w:type="dxa" w:w="90"/>
              <w:right w:type="dxa" w:w="130"/>
            </w:tcMar>
          </w:tcPr>
          <w:p>
            <w:pPr>
              <w:spacing w:after="0" w:line="260"/>
            </w:pPr>
            <w:r>
              <w:rPr>
                <w:b w:val="false"/>
                <w:bCs w:val="false"/>
                <w:sz w:val="20"/>
                <w:szCs w:val="20"/>
              </w:rPr>
              <w:t xml:space="preserve">Phishing-resistant only</w:t>
            </w:r>
          </w:p>
        </w:tc>
        <w:tc>
          <w:tcPr>
            <w:tcW w:type="dxa" w:w="3360"/>
            <w:tcMar>
              <w:top w:type="dxa" w:w="90"/>
              <w:left w:type="dxa" w:w="130"/>
              <w:bottom w:type="dxa" w:w="90"/>
              <w:right w:type="dxa" w:w="130"/>
            </w:tcMar>
          </w:tcPr>
          <w:p>
            <w:pPr>
              <w:spacing w:after="0" w:line="260"/>
            </w:pPr>
            <w:r>
              <w:rPr>
                <w:b w:val="false"/>
                <w:bCs w:val="false"/>
                <w:sz w:val="20"/>
                <w:szCs w:val="20"/>
              </w:rPr>
              <w:t xml:space="preserve">FIDO2 security key or platform passkey. Nothing else is accepted.</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Access to Restricted data</w:t>
            </w:r>
          </w:p>
        </w:tc>
        <w:tc>
          <w:tcPr>
            <w:tcW w:type="dxa" w:w="3400"/>
            <w:tcMar>
              <w:top w:type="dxa" w:w="90"/>
              <w:left w:type="dxa" w:w="130"/>
              <w:bottom w:type="dxa" w:w="90"/>
              <w:right w:type="dxa" w:w="130"/>
            </w:tcMar>
          </w:tcPr>
          <w:p>
            <w:pPr>
              <w:spacing w:after="0" w:line="260"/>
            </w:pPr>
            <w:r>
              <w:rPr>
                <w:b w:val="false"/>
                <w:bCs w:val="false"/>
                <w:sz w:val="20"/>
                <w:szCs w:val="20"/>
              </w:rPr>
              <w:t xml:space="preserve">Phishing-resistant only</w:t>
            </w:r>
          </w:p>
        </w:tc>
        <w:tc>
          <w:tcPr>
            <w:tcW w:type="dxa" w:w="3360"/>
            <w:tcMar>
              <w:top w:type="dxa" w:w="90"/>
              <w:left w:type="dxa" w:w="130"/>
              <w:bottom w:type="dxa" w:w="90"/>
              <w:right w:type="dxa" w:w="130"/>
            </w:tcMar>
          </w:tcPr>
          <w:p>
            <w:pPr>
              <w:spacing w:after="0" w:line="260"/>
            </w:pPr>
            <w:r>
              <w:rPr>
                <w:b w:val="false"/>
                <w:bCs w:val="false"/>
                <w:sz w:val="20"/>
                <w:szCs w:val="20"/>
              </w:rPr>
              <w:t xml:space="preserve">FIDO2 security key or platform passkey.</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Break-glass accounts</w:t>
            </w:r>
          </w:p>
        </w:tc>
        <w:tc>
          <w:tcPr>
            <w:tcW w:type="dxa" w:w="3400"/>
            <w:tcMar>
              <w:top w:type="dxa" w:w="90"/>
              <w:left w:type="dxa" w:w="130"/>
              <w:bottom w:type="dxa" w:w="90"/>
              <w:right w:type="dxa" w:w="130"/>
            </w:tcMar>
          </w:tcPr>
          <w:p>
            <w:pPr>
              <w:spacing w:after="0" w:line="260"/>
            </w:pPr>
            <w:r>
              <w:rPr>
                <w:b w:val="false"/>
                <w:bCs w:val="false"/>
                <w:sz w:val="20"/>
                <w:szCs w:val="20"/>
              </w:rPr>
              <w:t xml:space="preserve">Password plus hardware token, under dual custody</w:t>
            </w:r>
          </w:p>
        </w:tc>
        <w:tc>
          <w:tcPr>
            <w:tcW w:type="dxa" w:w="3360"/>
            <w:tcMar>
              <w:top w:type="dxa" w:w="90"/>
              <w:left w:type="dxa" w:w="130"/>
              <w:bottom w:type="dxa" w:w="90"/>
              <w:right w:type="dxa" w:w="130"/>
            </w:tcMar>
          </w:tcPr>
          <w:p>
            <w:pPr>
              <w:spacing w:after="0" w:line="260"/>
            </w:pPr>
            <w:r>
              <w:rPr>
                <w:b w:val="false"/>
                <w:bCs w:val="false"/>
                <w:sz w:val="20"/>
                <w:szCs w:val="20"/>
              </w:rPr>
              <w:t xml:space="preserve">Hardware token held separately from the credential.</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Third-party named access</w:t>
            </w:r>
          </w:p>
        </w:tc>
        <w:tc>
          <w:tcPr>
            <w:tcW w:type="dxa" w:w="3400"/>
            <w:tcMar>
              <w:top w:type="dxa" w:w="90"/>
              <w:left w:type="dxa" w:w="130"/>
              <w:bottom w:type="dxa" w:w="90"/>
              <w:right w:type="dxa" w:w="130"/>
            </w:tcMar>
          </w:tcPr>
          <w:p>
            <w:pPr>
              <w:spacing w:after="0" w:line="260"/>
            </w:pPr>
            <w:r>
              <w:rPr>
                <w:b w:val="false"/>
                <w:bCs w:val="false"/>
                <w:sz w:val="20"/>
                <w:szCs w:val="20"/>
              </w:rPr>
              <w:t xml:space="preserve">Password plus second factor via the Aldridge access path</w:t>
            </w:r>
          </w:p>
        </w:tc>
        <w:tc>
          <w:tcPr>
            <w:tcW w:type="dxa" w:w="3360"/>
            <w:tcMar>
              <w:top w:type="dxa" w:w="90"/>
              <w:left w:type="dxa" w:w="130"/>
              <w:bottom w:type="dxa" w:w="90"/>
              <w:right w:type="dxa" w:w="130"/>
            </w:tcMar>
          </w:tcPr>
          <w:p>
            <w:pPr>
              <w:spacing w:after="0" w:line="260"/>
            </w:pPr>
            <w:r>
              <w:rPr>
                <w:b w:val="false"/>
                <w:bCs w:val="false"/>
                <w:sz w:val="20"/>
                <w:szCs w:val="20"/>
              </w:rPr>
              <w:t xml:space="preserve">As standard worker access. Supplier-side authentication does not substitute.</w:t>
            </w:r>
          </w:p>
        </w:tc>
      </w:tr>
      <w:tr>
        <w:trPr>
          <w:tblHeader w:val="false"/>
        </w:trPr>
        <w:tc>
          <w:tcPr>
            <w:tcW w:type="dxa" w:w="2600"/>
            <w:tcMar>
              <w:top w:type="dxa" w:w="90"/>
              <w:left w:type="dxa" w:w="130"/>
              <w:bottom w:type="dxa" w:w="90"/>
              <w:right w:type="dxa" w:w="130"/>
            </w:tcMar>
          </w:tcPr>
          <w:p>
            <w:pPr>
              <w:spacing w:after="0" w:line="260"/>
            </w:pPr>
            <w:r>
              <w:rPr>
                <w:b w:val="false"/>
                <w:bCs w:val="false"/>
                <w:sz w:val="20"/>
                <w:szCs w:val="20"/>
              </w:rPr>
              <w:t xml:space="preserve">Service and machine accounts</w:t>
            </w:r>
          </w:p>
        </w:tc>
        <w:tc>
          <w:tcPr>
            <w:tcW w:type="dxa" w:w="3400"/>
            <w:tcMar>
              <w:top w:type="dxa" w:w="90"/>
              <w:left w:type="dxa" w:w="130"/>
              <w:bottom w:type="dxa" w:w="90"/>
              <w:right w:type="dxa" w:w="130"/>
            </w:tcMar>
          </w:tcPr>
          <w:p>
            <w:pPr>
              <w:spacing w:after="0" w:line="260"/>
            </w:pPr>
            <w:r>
              <w:rPr>
                <w:b w:val="false"/>
                <w:bCs w:val="false"/>
                <w:sz w:val="20"/>
                <w:szCs w:val="20"/>
              </w:rPr>
              <w:t xml:space="preserve">Non-interactive credential or workload identity</w:t>
            </w:r>
          </w:p>
        </w:tc>
        <w:tc>
          <w:tcPr>
            <w:tcW w:type="dxa" w:w="3360"/>
            <w:tcMar>
              <w:top w:type="dxa" w:w="90"/>
              <w:left w:type="dxa" w:w="130"/>
              <w:bottom w:type="dxa" w:w="90"/>
              <w:right w:type="dxa" w:w="130"/>
            </w:tcMar>
          </w:tcPr>
          <w:p>
            <w:pPr>
              <w:spacing w:after="0" w:line="260"/>
            </w:pPr>
            <w:r>
              <w:rPr>
                <w:b w:val="false"/>
                <w:bCs w:val="false"/>
                <w:sz w:val="20"/>
                <w:szCs w:val="20"/>
              </w:rPr>
              <w:t xml:space="preserve">Federated workload identity preferred. Static credentials only where federation is unavailable, held in HashiCorp Vault.</w:t>
            </w:r>
          </w:p>
        </w:tc>
      </w:tr>
    </w:tbl>
    <w:p>
      <w:pPr>
        <w:spacing w:after="140" w:line="276"/>
      </w:pPr>
      <w:r>
        <w:rPr>
          <w:sz w:val="22"/>
          <w:szCs w:val="22"/>
        </w:rPr>
        <w:t xml:space="preserve">SMS and voice-delivered one-time passcodes are not accepted as a second factor for privileged access, for access to Restricted data, or for break-glass accounts. They remain acceptable as a fallback for standard worker access only where no alternative is technically available, and each such case is recorded in the exception register.</w:t>
      </w:r>
    </w:p>
    <w:p>
      <w:pPr>
        <w:pStyle w:val="Heading1"/>
        <w:spacing w:after="160" w:before="320"/>
      </w:pPr>
      <w:r>
        <w:t xml:space="preserve">4. Password parameters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2200"/>
        <w:gridCol w:w="3960"/>
      </w:tblGrid>
      <w:tr>
        <w:trPr>
          <w:tblHeader/>
        </w:trPr>
        <w:tc>
          <w:tcPr>
            <w:tcW w:type="dxa" w:w="3200"/>
            <w:shd w:fill="E7EAF0" w:color="auto" w:val="clear"/>
            <w:tcMar>
              <w:top w:type="dxa" w:w="90"/>
              <w:left w:type="dxa" w:w="130"/>
              <w:bottom w:type="dxa" w:w="90"/>
              <w:right w:type="dxa" w:w="130"/>
            </w:tcMar>
          </w:tcPr>
          <w:p>
            <w:pPr>
              <w:spacing w:after="0" w:line="260"/>
            </w:pPr>
            <w:r>
              <w:rPr>
                <w:b/>
                <w:bCs/>
                <w:sz w:val="20"/>
                <w:szCs w:val="20"/>
              </w:rPr>
              <w:t xml:space="preserve">Parameter</w:t>
            </w:r>
          </w:p>
        </w:tc>
        <w:tc>
          <w:tcPr>
            <w:tcW w:type="dxa" w:w="2200"/>
            <w:shd w:fill="E7EAF0" w:color="auto" w:val="clear"/>
            <w:tcMar>
              <w:top w:type="dxa" w:w="90"/>
              <w:left w:type="dxa" w:w="130"/>
              <w:bottom w:type="dxa" w:w="90"/>
              <w:right w:type="dxa" w:w="130"/>
            </w:tcMar>
          </w:tcPr>
          <w:p>
            <w:pPr>
              <w:spacing w:after="0" w:line="260"/>
            </w:pPr>
            <w:r>
              <w:rPr>
                <w:b/>
                <w:bCs/>
                <w:sz w:val="20"/>
                <w:szCs w:val="20"/>
              </w:rPr>
              <w:t xml:space="preserve">Value</w:t>
            </w:r>
          </w:p>
        </w:tc>
        <w:tc>
          <w:tcPr>
            <w:tcW w:type="dxa" w:w="3960"/>
            <w:shd w:fill="E7EAF0" w:color="auto" w:val="clear"/>
            <w:tcMar>
              <w:top w:type="dxa" w:w="90"/>
              <w:left w:type="dxa" w:w="130"/>
              <w:bottom w:type="dxa" w:w="90"/>
              <w:right w:type="dxa" w:w="130"/>
            </w:tcMar>
          </w:tcPr>
          <w:p>
            <w:pPr>
              <w:spacing w:after="0" w:line="260"/>
            </w:pPr>
            <w:r>
              <w:rPr>
                <w:b/>
                <w:bCs/>
                <w:sz w:val="20"/>
                <w:szCs w:val="20"/>
              </w:rPr>
              <w:t xml:space="preserve">Note</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Minimum length, federated worker accounts</w:t>
            </w:r>
          </w:p>
        </w:tc>
        <w:tc>
          <w:tcPr>
            <w:tcW w:type="dxa" w:w="2200"/>
            <w:tcMar>
              <w:top w:type="dxa" w:w="90"/>
              <w:left w:type="dxa" w:w="130"/>
              <w:bottom w:type="dxa" w:w="90"/>
              <w:right w:type="dxa" w:w="130"/>
            </w:tcMar>
          </w:tcPr>
          <w:p>
            <w:pPr>
              <w:spacing w:after="0" w:line="260"/>
            </w:pPr>
            <w:r>
              <w:rPr>
                <w:b w:val="false"/>
                <w:bCs w:val="false"/>
                <w:sz w:val="20"/>
                <w:szCs w:val="20"/>
              </w:rPr>
              <w:t xml:space="preserve">14 characters</w:t>
            </w:r>
          </w:p>
        </w:tc>
        <w:tc>
          <w:tcPr>
            <w:tcW w:type="dxa" w:w="3960"/>
            <w:tcMar>
              <w:top w:type="dxa" w:w="90"/>
              <w:left w:type="dxa" w:w="130"/>
              <w:bottom w:type="dxa" w:w="90"/>
              <w:right w:type="dxa" w:w="130"/>
            </w:tcMar>
          </w:tcPr>
          <w:p>
            <w:pPr>
              <w:spacing w:after="0" w:line="260"/>
            </w:pPr>
            <w:r>
              <w:rPr>
                <w:b w:val="false"/>
                <w:bCs w:val="false"/>
                <w:sz w:val="20"/>
                <w:szCs w:val="20"/>
              </w:rPr>
              <w:t xml:space="preserve">No composition rules. Length and screening are more effective than character-class requirements.</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Minimum length, local and non-federated accounts</w:t>
            </w:r>
          </w:p>
        </w:tc>
        <w:tc>
          <w:tcPr>
            <w:tcW w:type="dxa" w:w="2200"/>
            <w:tcMar>
              <w:top w:type="dxa" w:w="90"/>
              <w:left w:type="dxa" w:w="130"/>
              <w:bottom w:type="dxa" w:w="90"/>
              <w:right w:type="dxa" w:w="130"/>
            </w:tcMar>
          </w:tcPr>
          <w:p>
            <w:pPr>
              <w:spacing w:after="0" w:line="260"/>
            </w:pPr>
            <w:r>
              <w:rPr>
                <w:b w:val="false"/>
                <w:bCs w:val="false"/>
                <w:sz w:val="20"/>
                <w:szCs w:val="20"/>
              </w:rPr>
              <w:t xml:space="preserve">20 characters</w:t>
            </w:r>
          </w:p>
        </w:tc>
        <w:tc>
          <w:tcPr>
            <w:tcW w:type="dxa" w:w="3960"/>
            <w:tcMar>
              <w:top w:type="dxa" w:w="90"/>
              <w:left w:type="dxa" w:w="130"/>
              <w:bottom w:type="dxa" w:w="90"/>
              <w:right w:type="dxa" w:w="130"/>
            </w:tcMar>
          </w:tcPr>
          <w:p>
            <w:pPr>
              <w:spacing w:after="0" w:line="260"/>
            </w:pPr>
            <w:r>
              <w:rPr>
                <w:b w:val="false"/>
                <w:bCs w:val="false"/>
                <w:sz w:val="20"/>
                <w:szCs w:val="20"/>
              </w:rPr>
              <w:t xml:space="preserve">Randomly generated; never chosen by a human.</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Minimum length, service and machine accounts</w:t>
            </w:r>
          </w:p>
        </w:tc>
        <w:tc>
          <w:tcPr>
            <w:tcW w:type="dxa" w:w="2200"/>
            <w:tcMar>
              <w:top w:type="dxa" w:w="90"/>
              <w:left w:type="dxa" w:w="130"/>
              <w:bottom w:type="dxa" w:w="90"/>
              <w:right w:type="dxa" w:w="130"/>
            </w:tcMar>
          </w:tcPr>
          <w:p>
            <w:pPr>
              <w:spacing w:after="0" w:line="260"/>
            </w:pPr>
            <w:r>
              <w:rPr>
                <w:b w:val="false"/>
                <w:bCs w:val="false"/>
                <w:sz w:val="20"/>
                <w:szCs w:val="20"/>
              </w:rPr>
              <w:t xml:space="preserve">25 characters</w:t>
            </w:r>
          </w:p>
        </w:tc>
        <w:tc>
          <w:tcPr>
            <w:tcW w:type="dxa" w:w="3960"/>
            <w:tcMar>
              <w:top w:type="dxa" w:w="90"/>
              <w:left w:type="dxa" w:w="130"/>
              <w:bottom w:type="dxa" w:w="90"/>
              <w:right w:type="dxa" w:w="130"/>
            </w:tcMar>
          </w:tcPr>
          <w:p>
            <w:pPr>
              <w:spacing w:after="0" w:line="260"/>
            </w:pPr>
            <w:r>
              <w:rPr>
                <w:b w:val="false"/>
                <w:bCs w:val="false"/>
                <w:sz w:val="20"/>
                <w:szCs w:val="20"/>
              </w:rPr>
              <w:t xml:space="preserve">Randomly generated; held in Vault; never embedded in code or configuration.</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Maximum length accepted</w:t>
            </w:r>
          </w:p>
        </w:tc>
        <w:tc>
          <w:tcPr>
            <w:tcW w:type="dxa" w:w="2200"/>
            <w:tcMar>
              <w:top w:type="dxa" w:w="90"/>
              <w:left w:type="dxa" w:w="130"/>
              <w:bottom w:type="dxa" w:w="90"/>
              <w:right w:type="dxa" w:w="130"/>
            </w:tcMar>
          </w:tcPr>
          <w:p>
            <w:pPr>
              <w:spacing w:after="0" w:line="260"/>
            </w:pPr>
            <w:r>
              <w:rPr>
                <w:b w:val="false"/>
                <w:bCs w:val="false"/>
                <w:sz w:val="20"/>
                <w:szCs w:val="20"/>
              </w:rPr>
              <w:t xml:space="preserve">No maximum below 128 characters</w:t>
            </w:r>
          </w:p>
        </w:tc>
        <w:tc>
          <w:tcPr>
            <w:tcW w:type="dxa" w:w="3960"/>
            <w:tcMar>
              <w:top w:type="dxa" w:w="90"/>
              <w:left w:type="dxa" w:w="130"/>
              <w:bottom w:type="dxa" w:w="90"/>
              <w:right w:type="dxa" w:w="130"/>
            </w:tcMar>
          </w:tcPr>
          <w:p>
            <w:pPr>
              <w:spacing w:after="0" w:line="260"/>
            </w:pPr>
            <w:r>
              <w:rPr>
                <w:b w:val="false"/>
                <w:bCs w:val="false"/>
                <w:sz w:val="20"/>
                <w:szCs w:val="20"/>
              </w:rPr>
              <w:t xml:space="preserve">Systems that truncate silently are recorded as a finding.</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Composition requirements</w:t>
            </w:r>
          </w:p>
        </w:tc>
        <w:tc>
          <w:tcPr>
            <w:tcW w:type="dxa" w:w="2200"/>
            <w:tcMar>
              <w:top w:type="dxa" w:w="90"/>
              <w:left w:type="dxa" w:w="130"/>
              <w:bottom w:type="dxa" w:w="90"/>
              <w:right w:type="dxa" w:w="130"/>
            </w:tcMar>
          </w:tcPr>
          <w:p>
            <w:pPr>
              <w:spacing w:after="0" w:line="260"/>
            </w:pPr>
            <w:r>
              <w:rPr>
                <w:b w:val="false"/>
                <w:bCs w:val="false"/>
                <w:sz w:val="20"/>
                <w:szCs w:val="20"/>
              </w:rPr>
              <w:t xml:space="preserve">None</w:t>
            </w:r>
          </w:p>
        </w:tc>
        <w:tc>
          <w:tcPr>
            <w:tcW w:type="dxa" w:w="3960"/>
            <w:tcMar>
              <w:top w:type="dxa" w:w="90"/>
              <w:left w:type="dxa" w:w="130"/>
              <w:bottom w:type="dxa" w:w="90"/>
              <w:right w:type="dxa" w:w="130"/>
            </w:tcMar>
          </w:tcPr>
          <w:p>
            <w:pPr>
              <w:spacing w:after="0" w:line="260"/>
            </w:pPr>
            <w:r>
              <w:rPr>
                <w:b w:val="false"/>
                <w:bCs w:val="false"/>
                <w:sz w:val="20"/>
                <w:szCs w:val="20"/>
              </w:rPr>
              <w:t xml:space="preserve">Deliberate. Composition rules produce predictable substitutions and reduce entropy in practice.</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Breached-credential screening</w:t>
            </w:r>
          </w:p>
        </w:tc>
        <w:tc>
          <w:tcPr>
            <w:tcW w:type="dxa" w:w="2200"/>
            <w:tcMar>
              <w:top w:type="dxa" w:w="90"/>
              <w:left w:type="dxa" w:w="130"/>
              <w:bottom w:type="dxa" w:w="90"/>
              <w:right w:type="dxa" w:w="130"/>
            </w:tcMar>
          </w:tcPr>
          <w:p>
            <w:pPr>
              <w:spacing w:after="0" w:line="260"/>
            </w:pPr>
            <w:r>
              <w:rPr>
                <w:b w:val="false"/>
                <w:bCs w:val="false"/>
                <w:sz w:val="20"/>
                <w:szCs w:val="20"/>
              </w:rPr>
              <w:t xml:space="preserve">At set and at each authentication</w:t>
            </w:r>
          </w:p>
        </w:tc>
        <w:tc>
          <w:tcPr>
            <w:tcW w:type="dxa" w:w="3960"/>
            <w:tcMar>
              <w:top w:type="dxa" w:w="90"/>
              <w:left w:type="dxa" w:w="130"/>
              <w:bottom w:type="dxa" w:w="90"/>
              <w:right w:type="dxa" w:w="130"/>
            </w:tcMar>
          </w:tcPr>
          <w:p>
            <w:pPr>
              <w:spacing w:after="0" w:line="260"/>
            </w:pPr>
            <w:r>
              <w:rPr>
                <w:b w:val="false"/>
                <w:bCs w:val="false"/>
                <w:sz w:val="20"/>
                <w:szCs w:val="20"/>
              </w:rPr>
              <w:t xml:space="preserve">Screened against a maintained compromised-credential corpus. A match forces immediate reset.</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Routine expiry</w:t>
            </w:r>
          </w:p>
        </w:tc>
        <w:tc>
          <w:tcPr>
            <w:tcW w:type="dxa" w:w="2200"/>
            <w:tcMar>
              <w:top w:type="dxa" w:w="90"/>
              <w:left w:type="dxa" w:w="130"/>
              <w:bottom w:type="dxa" w:w="90"/>
              <w:right w:type="dxa" w:w="130"/>
            </w:tcMar>
          </w:tcPr>
          <w:p>
            <w:pPr>
              <w:spacing w:after="0" w:line="260"/>
            </w:pPr>
            <w:r>
              <w:rPr>
                <w:b w:val="false"/>
                <w:bCs w:val="false"/>
                <w:sz w:val="20"/>
                <w:szCs w:val="20"/>
              </w:rPr>
              <w:t xml:space="preserve">None</w:t>
            </w:r>
          </w:p>
        </w:tc>
        <w:tc>
          <w:tcPr>
            <w:tcW w:type="dxa" w:w="3960"/>
            <w:tcMar>
              <w:top w:type="dxa" w:w="90"/>
              <w:left w:type="dxa" w:w="130"/>
              <w:bottom w:type="dxa" w:w="90"/>
              <w:right w:type="dxa" w:w="130"/>
            </w:tcMar>
          </w:tcPr>
          <w:p>
            <w:pPr>
              <w:spacing w:after="0" w:line="260"/>
            </w:pPr>
            <w:r>
              <w:rPr>
                <w:b w:val="false"/>
                <w:bCs w:val="false"/>
                <w:sz w:val="20"/>
                <w:szCs w:val="20"/>
              </w:rPr>
              <w:t xml:space="preserve">Per NIST SP 800-63B. Rotation is required only on evidence or suspicion of compromise. See section 8 on the audit consequence of this choice.</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Reuse prevention</w:t>
            </w:r>
          </w:p>
        </w:tc>
        <w:tc>
          <w:tcPr>
            <w:tcW w:type="dxa" w:w="2200"/>
            <w:tcMar>
              <w:top w:type="dxa" w:w="90"/>
              <w:left w:type="dxa" w:w="130"/>
              <w:bottom w:type="dxa" w:w="90"/>
              <w:right w:type="dxa" w:w="130"/>
            </w:tcMar>
          </w:tcPr>
          <w:p>
            <w:pPr>
              <w:spacing w:after="0" w:line="260"/>
            </w:pPr>
            <w:r>
              <w:rPr>
                <w:b w:val="false"/>
                <w:bCs w:val="false"/>
                <w:sz w:val="20"/>
                <w:szCs w:val="20"/>
              </w:rPr>
              <w:t xml:space="preserve">Last 12 passwords</w:t>
            </w:r>
          </w:p>
        </w:tc>
        <w:tc>
          <w:tcPr>
            <w:tcW w:type="dxa" w:w="3960"/>
            <w:tcMar>
              <w:top w:type="dxa" w:w="90"/>
              <w:left w:type="dxa" w:w="130"/>
              <w:bottom w:type="dxa" w:w="90"/>
              <w:right w:type="dxa" w:w="130"/>
            </w:tcMar>
          </w:tcPr>
          <w:p>
            <w:pPr>
              <w:spacing w:after="0" w:line="260"/>
            </w:pPr>
            <w:r>
              <w:rPr>
                <w:b w:val="false"/>
                <w:bCs w:val="false"/>
                <w:sz w:val="20"/>
                <w:szCs w:val="20"/>
              </w:rPr>
              <w:t xml:space="preserve">Applies where rotation does occur.</w:t>
            </w:r>
          </w:p>
        </w:tc>
      </w:tr>
      <w:tr>
        <w:trPr>
          <w:tblHeader w:val="false"/>
        </w:trPr>
        <w:tc>
          <w:tcPr>
            <w:tcW w:type="dxa" w:w="3200"/>
            <w:tcMar>
              <w:top w:type="dxa" w:w="90"/>
              <w:left w:type="dxa" w:w="130"/>
              <w:bottom w:type="dxa" w:w="90"/>
              <w:right w:type="dxa" w:w="130"/>
            </w:tcMar>
          </w:tcPr>
          <w:p>
            <w:pPr>
              <w:spacing w:after="0" w:line="260"/>
            </w:pPr>
            <w:r>
              <w:rPr>
                <w:b w:val="false"/>
                <w:bCs w:val="false"/>
                <w:sz w:val="20"/>
                <w:szCs w:val="20"/>
              </w:rPr>
              <w:t xml:space="preserve">Password manager</w:t>
            </w:r>
          </w:p>
        </w:tc>
        <w:tc>
          <w:tcPr>
            <w:tcW w:type="dxa" w:w="2200"/>
            <w:tcMar>
              <w:top w:type="dxa" w:w="90"/>
              <w:left w:type="dxa" w:w="130"/>
              <w:bottom w:type="dxa" w:w="90"/>
              <w:right w:type="dxa" w:w="130"/>
            </w:tcMar>
          </w:tcPr>
          <w:p>
            <w:pPr>
              <w:spacing w:after="0" w:line="260"/>
            </w:pPr>
            <w:r>
              <w:rPr>
                <w:b w:val="false"/>
                <w:bCs w:val="false"/>
                <w:sz w:val="20"/>
                <w:szCs w:val="20"/>
              </w:rPr>
              <w:t xml:space="preserve">Mandatory</w:t>
            </w:r>
          </w:p>
        </w:tc>
        <w:tc>
          <w:tcPr>
            <w:tcW w:type="dxa" w:w="3960"/>
            <w:tcMar>
              <w:top w:type="dxa" w:w="90"/>
              <w:left w:type="dxa" w:w="130"/>
              <w:bottom w:type="dxa" w:w="90"/>
              <w:right w:type="dxa" w:w="130"/>
            </w:tcMar>
          </w:tcPr>
          <w:p>
            <w:pPr>
              <w:spacing w:after="0" w:line="260"/>
            </w:pPr>
            <w:r>
              <w:rPr>
                <w:b w:val="false"/>
                <w:bCs w:val="false"/>
                <w:sz w:val="20"/>
                <w:szCs w:val="20"/>
              </w:rPr>
              <w:t xml:space="preserve">Company-approved manager. Passwords must not be stored elsewhere.</w:t>
            </w:r>
          </w:p>
        </w:tc>
      </w:tr>
    </w:tbl>
    <w:p>
      <w:pPr>
        <w:pStyle w:val="Heading1"/>
        <w:spacing w:after="160" w:before="320"/>
      </w:pPr>
      <w:r>
        <w:t xml:space="preserve">5. Session and lockout parameters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2200"/>
        <w:gridCol w:w="3560"/>
      </w:tblGrid>
      <w:tr>
        <w:trPr>
          <w:tblHeader/>
        </w:trPr>
        <w:tc>
          <w:tcPr>
            <w:tcW w:type="dxa" w:w="3600"/>
            <w:shd w:fill="E7EAF0" w:color="auto" w:val="clear"/>
            <w:tcMar>
              <w:top w:type="dxa" w:w="90"/>
              <w:left w:type="dxa" w:w="130"/>
              <w:bottom w:type="dxa" w:w="90"/>
              <w:right w:type="dxa" w:w="130"/>
            </w:tcMar>
          </w:tcPr>
          <w:p>
            <w:pPr>
              <w:spacing w:after="0" w:line="260"/>
            </w:pPr>
            <w:r>
              <w:rPr>
                <w:b/>
                <w:bCs/>
                <w:sz w:val="20"/>
                <w:szCs w:val="20"/>
              </w:rPr>
              <w:t xml:space="preserve">Parameter</w:t>
            </w:r>
          </w:p>
        </w:tc>
        <w:tc>
          <w:tcPr>
            <w:tcW w:type="dxa" w:w="2200"/>
            <w:shd w:fill="E7EAF0" w:color="auto" w:val="clear"/>
            <w:tcMar>
              <w:top w:type="dxa" w:w="90"/>
              <w:left w:type="dxa" w:w="130"/>
              <w:bottom w:type="dxa" w:w="90"/>
              <w:right w:type="dxa" w:w="130"/>
            </w:tcMar>
          </w:tcPr>
          <w:p>
            <w:pPr>
              <w:spacing w:after="0" w:line="260"/>
            </w:pPr>
            <w:r>
              <w:rPr>
                <w:b/>
                <w:bCs/>
                <w:sz w:val="20"/>
                <w:szCs w:val="20"/>
              </w:rPr>
              <w:t xml:space="preserve">Value</w:t>
            </w:r>
          </w:p>
        </w:tc>
        <w:tc>
          <w:tcPr>
            <w:tcW w:type="dxa" w:w="3560"/>
            <w:shd w:fill="E7EAF0" w:color="auto" w:val="clear"/>
            <w:tcMar>
              <w:top w:type="dxa" w:w="90"/>
              <w:left w:type="dxa" w:w="130"/>
              <w:bottom w:type="dxa" w:w="90"/>
              <w:right w:type="dxa" w:w="130"/>
            </w:tcMar>
          </w:tcPr>
          <w:p>
            <w:pPr>
              <w:spacing w:after="0" w:line="260"/>
            </w:pPr>
            <w:r>
              <w:rPr>
                <w:b/>
                <w:bCs/>
                <w:sz w:val="20"/>
                <w:szCs w:val="20"/>
              </w:rPr>
              <w:t xml:space="preserve">Applies to</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Inactivity timeout, standard session</w:t>
            </w:r>
          </w:p>
        </w:tc>
        <w:tc>
          <w:tcPr>
            <w:tcW w:type="dxa" w:w="2200"/>
            <w:tcMar>
              <w:top w:type="dxa" w:w="90"/>
              <w:left w:type="dxa" w:w="130"/>
              <w:bottom w:type="dxa" w:w="90"/>
              <w:right w:type="dxa" w:w="130"/>
            </w:tcMar>
          </w:tcPr>
          <w:p>
            <w:pPr>
              <w:spacing w:after="0" w:line="260"/>
            </w:pPr>
            <w:r>
              <w:rPr>
                <w:b w:val="false"/>
                <w:bCs w:val="false"/>
                <w:sz w:val="20"/>
                <w:szCs w:val="20"/>
              </w:rPr>
              <w:t xml:space="preserve">15 minutes</w:t>
            </w:r>
          </w:p>
        </w:tc>
        <w:tc>
          <w:tcPr>
            <w:tcW w:type="dxa" w:w="3560"/>
            <w:tcMar>
              <w:top w:type="dxa" w:w="90"/>
              <w:left w:type="dxa" w:w="130"/>
              <w:bottom w:type="dxa" w:w="90"/>
              <w:right w:type="dxa" w:w="130"/>
            </w:tcMar>
          </w:tcPr>
          <w:p>
            <w:pPr>
              <w:spacing w:after="0" w:line="260"/>
            </w:pPr>
            <w:r>
              <w:rPr>
                <w:b w:val="false"/>
                <w:bCs w:val="false"/>
                <w:sz w:val="20"/>
                <w:szCs w:val="20"/>
              </w:rPr>
              <w:t xml:space="preserve">All interactive sessions</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Inactivity timeout, privileged session</w:t>
            </w:r>
          </w:p>
        </w:tc>
        <w:tc>
          <w:tcPr>
            <w:tcW w:type="dxa" w:w="2200"/>
            <w:tcMar>
              <w:top w:type="dxa" w:w="90"/>
              <w:left w:type="dxa" w:w="130"/>
              <w:bottom w:type="dxa" w:w="90"/>
              <w:right w:type="dxa" w:w="130"/>
            </w:tcMar>
          </w:tcPr>
          <w:p>
            <w:pPr>
              <w:spacing w:after="0" w:line="260"/>
            </w:pPr>
            <w:r>
              <w:rPr>
                <w:b w:val="false"/>
                <w:bCs w:val="false"/>
                <w:sz w:val="20"/>
                <w:szCs w:val="20"/>
              </w:rPr>
              <w:t xml:space="preserve">10 minutes</w:t>
            </w:r>
          </w:p>
        </w:tc>
        <w:tc>
          <w:tcPr>
            <w:tcW w:type="dxa" w:w="3560"/>
            <w:tcMar>
              <w:top w:type="dxa" w:w="90"/>
              <w:left w:type="dxa" w:w="130"/>
              <w:bottom w:type="dxa" w:w="90"/>
              <w:right w:type="dxa" w:w="130"/>
            </w:tcMar>
          </w:tcPr>
          <w:p>
            <w:pPr>
              <w:spacing w:after="0" w:line="260"/>
            </w:pPr>
            <w:r>
              <w:rPr>
                <w:b w:val="false"/>
                <w:bCs w:val="false"/>
                <w:sz w:val="20"/>
                <w:szCs w:val="20"/>
              </w:rPr>
              <w:t xml:space="preserve">Administrative and Restricted-data sessions</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Absolute session lifetime, standard</w:t>
            </w:r>
          </w:p>
        </w:tc>
        <w:tc>
          <w:tcPr>
            <w:tcW w:type="dxa" w:w="2200"/>
            <w:tcMar>
              <w:top w:type="dxa" w:w="90"/>
              <w:left w:type="dxa" w:w="130"/>
              <w:bottom w:type="dxa" w:w="90"/>
              <w:right w:type="dxa" w:w="130"/>
            </w:tcMar>
          </w:tcPr>
          <w:p>
            <w:pPr>
              <w:spacing w:after="0" w:line="260"/>
            </w:pPr>
            <w:r>
              <w:rPr>
                <w:b w:val="false"/>
                <w:bCs w:val="false"/>
                <w:sz w:val="20"/>
                <w:szCs w:val="20"/>
              </w:rPr>
              <w:t xml:space="preserve">12 hours</w:t>
            </w:r>
          </w:p>
        </w:tc>
        <w:tc>
          <w:tcPr>
            <w:tcW w:type="dxa" w:w="3560"/>
            <w:tcMar>
              <w:top w:type="dxa" w:w="90"/>
              <w:left w:type="dxa" w:w="130"/>
              <w:bottom w:type="dxa" w:w="90"/>
              <w:right w:type="dxa" w:w="130"/>
            </w:tcMar>
          </w:tcPr>
          <w:p>
            <w:pPr>
              <w:spacing w:after="0" w:line="260"/>
            </w:pPr>
            <w:r>
              <w:rPr>
                <w:b w:val="false"/>
                <w:bCs w:val="false"/>
                <w:sz w:val="20"/>
                <w:szCs w:val="20"/>
              </w:rPr>
              <w:t xml:space="preserve">Re-authentication required thereafter</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Absolute session lifetime, privileged</w:t>
            </w:r>
          </w:p>
        </w:tc>
        <w:tc>
          <w:tcPr>
            <w:tcW w:type="dxa" w:w="2200"/>
            <w:tcMar>
              <w:top w:type="dxa" w:w="90"/>
              <w:left w:type="dxa" w:w="130"/>
              <w:bottom w:type="dxa" w:w="90"/>
              <w:right w:type="dxa" w:w="130"/>
            </w:tcMar>
          </w:tcPr>
          <w:p>
            <w:pPr>
              <w:spacing w:after="0" w:line="260"/>
            </w:pPr>
            <w:r>
              <w:rPr>
                <w:b w:val="false"/>
                <w:bCs w:val="false"/>
                <w:sz w:val="20"/>
                <w:szCs w:val="20"/>
              </w:rPr>
              <w:t xml:space="preserve">4 hours</w:t>
            </w:r>
          </w:p>
        </w:tc>
        <w:tc>
          <w:tcPr>
            <w:tcW w:type="dxa" w:w="3560"/>
            <w:tcMar>
              <w:top w:type="dxa" w:w="90"/>
              <w:left w:type="dxa" w:w="130"/>
              <w:bottom w:type="dxa" w:w="90"/>
              <w:right w:type="dxa" w:w="130"/>
            </w:tcMar>
          </w:tcPr>
          <w:p>
            <w:pPr>
              <w:spacing w:after="0" w:line="260"/>
            </w:pPr>
            <w:r>
              <w:rPr>
                <w:b w:val="false"/>
                <w:bCs w:val="false"/>
                <w:sz w:val="20"/>
                <w:szCs w:val="20"/>
              </w:rPr>
              <w:t xml:space="preserve">Matches the just-in-time elevation window</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Screen lock, endpoint</w:t>
            </w:r>
          </w:p>
        </w:tc>
        <w:tc>
          <w:tcPr>
            <w:tcW w:type="dxa" w:w="2200"/>
            <w:tcMar>
              <w:top w:type="dxa" w:w="90"/>
              <w:left w:type="dxa" w:w="130"/>
              <w:bottom w:type="dxa" w:w="90"/>
              <w:right w:type="dxa" w:w="130"/>
            </w:tcMar>
          </w:tcPr>
          <w:p>
            <w:pPr>
              <w:spacing w:after="0" w:line="260"/>
            </w:pPr>
            <w:r>
              <w:rPr>
                <w:b w:val="false"/>
                <w:bCs w:val="false"/>
                <w:sz w:val="20"/>
                <w:szCs w:val="20"/>
              </w:rPr>
              <w:t xml:space="preserve">15 minutes</w:t>
            </w:r>
          </w:p>
        </w:tc>
        <w:tc>
          <w:tcPr>
            <w:tcW w:type="dxa" w:w="3560"/>
            <w:tcMar>
              <w:top w:type="dxa" w:w="90"/>
              <w:left w:type="dxa" w:w="130"/>
              <w:bottom w:type="dxa" w:w="90"/>
              <w:right w:type="dxa" w:w="130"/>
            </w:tcMar>
          </w:tcPr>
          <w:p>
            <w:pPr>
              <w:spacing w:after="0" w:line="260"/>
            </w:pPr>
            <w:r>
              <w:rPr>
                <w:b w:val="false"/>
                <w:bCs w:val="false"/>
                <w:sz w:val="20"/>
                <w:szCs w:val="20"/>
              </w:rPr>
              <w:t xml:space="preserve">Enforced by device management</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Failed authentication lockout threshold</w:t>
            </w:r>
          </w:p>
        </w:tc>
        <w:tc>
          <w:tcPr>
            <w:tcW w:type="dxa" w:w="2200"/>
            <w:tcMar>
              <w:top w:type="dxa" w:w="90"/>
              <w:left w:type="dxa" w:w="130"/>
              <w:bottom w:type="dxa" w:w="90"/>
              <w:right w:type="dxa" w:w="130"/>
            </w:tcMar>
          </w:tcPr>
          <w:p>
            <w:pPr>
              <w:spacing w:after="0" w:line="260"/>
            </w:pPr>
            <w:r>
              <w:rPr>
                <w:b w:val="false"/>
                <w:bCs w:val="false"/>
                <w:sz w:val="20"/>
                <w:szCs w:val="20"/>
              </w:rPr>
              <w:t xml:space="preserve">10 consecutive attempts</w:t>
            </w:r>
          </w:p>
        </w:tc>
        <w:tc>
          <w:tcPr>
            <w:tcW w:type="dxa" w:w="3560"/>
            <w:tcMar>
              <w:top w:type="dxa" w:w="90"/>
              <w:left w:type="dxa" w:w="130"/>
              <w:bottom w:type="dxa" w:w="90"/>
              <w:right w:type="dxa" w:w="130"/>
            </w:tcMar>
          </w:tcPr>
          <w:p>
            <w:pPr>
              <w:spacing w:after="0" w:line="260"/>
            </w:pPr>
            <w:r>
              <w:rPr>
                <w:b w:val="false"/>
                <w:bCs w:val="false"/>
                <w:sz w:val="20"/>
                <w:szCs w:val="20"/>
              </w:rPr>
              <w:t xml:space="preserve">All accounts</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Lockout duration</w:t>
            </w:r>
          </w:p>
        </w:tc>
        <w:tc>
          <w:tcPr>
            <w:tcW w:type="dxa" w:w="2200"/>
            <w:tcMar>
              <w:top w:type="dxa" w:w="90"/>
              <w:left w:type="dxa" w:w="130"/>
              <w:bottom w:type="dxa" w:w="90"/>
              <w:right w:type="dxa" w:w="130"/>
            </w:tcMar>
          </w:tcPr>
          <w:p>
            <w:pPr>
              <w:spacing w:after="0" w:line="260"/>
            </w:pPr>
            <w:r>
              <w:rPr>
                <w:b w:val="false"/>
                <w:bCs w:val="false"/>
                <w:sz w:val="20"/>
                <w:szCs w:val="20"/>
              </w:rPr>
              <w:t xml:space="preserve">Indefinite until released</w:t>
            </w:r>
          </w:p>
        </w:tc>
        <w:tc>
          <w:tcPr>
            <w:tcW w:type="dxa" w:w="3560"/>
            <w:tcMar>
              <w:top w:type="dxa" w:w="90"/>
              <w:left w:type="dxa" w:w="130"/>
              <w:bottom w:type="dxa" w:w="90"/>
              <w:right w:type="dxa" w:w="130"/>
            </w:tcMar>
          </w:tcPr>
          <w:p>
            <w:pPr>
              <w:spacing w:after="0" w:line="260"/>
            </w:pPr>
            <w:r>
              <w:rPr>
                <w:b w:val="false"/>
                <w:bCs w:val="false"/>
                <w:sz w:val="20"/>
                <w:szCs w:val="20"/>
              </w:rPr>
              <w:t xml:space="preserve">Release by verified self-service or service desk identity verification</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Dormant account disable</w:t>
            </w:r>
          </w:p>
        </w:tc>
        <w:tc>
          <w:tcPr>
            <w:tcW w:type="dxa" w:w="2200"/>
            <w:tcMar>
              <w:top w:type="dxa" w:w="90"/>
              <w:left w:type="dxa" w:w="130"/>
              <w:bottom w:type="dxa" w:w="90"/>
              <w:right w:type="dxa" w:w="130"/>
            </w:tcMar>
          </w:tcPr>
          <w:p>
            <w:pPr>
              <w:spacing w:after="0" w:line="260"/>
            </w:pPr>
            <w:r>
              <w:rPr>
                <w:b w:val="false"/>
                <w:bCs w:val="false"/>
                <w:sz w:val="20"/>
                <w:szCs w:val="20"/>
              </w:rPr>
              <w:t xml:space="preserve">45 days without authentication</w:t>
            </w:r>
          </w:p>
        </w:tc>
        <w:tc>
          <w:tcPr>
            <w:tcW w:type="dxa" w:w="3560"/>
            <w:tcMar>
              <w:top w:type="dxa" w:w="90"/>
              <w:left w:type="dxa" w:w="130"/>
              <w:bottom w:type="dxa" w:w="90"/>
              <w:right w:type="dxa" w:w="130"/>
            </w:tcMar>
          </w:tcPr>
          <w:p>
            <w:pPr>
              <w:spacing w:after="0" w:line="260"/>
            </w:pPr>
            <w:r>
              <w:rPr>
                <w:b w:val="false"/>
                <w:bCs w:val="false"/>
                <w:sz w:val="20"/>
                <w:szCs w:val="20"/>
              </w:rPr>
              <w:t xml:space="preserve">All accounts including service accounts</w:t>
            </w:r>
          </w:p>
        </w:tc>
      </w:tr>
      <w:tr>
        <w:trPr>
          <w:tblHeader w:val="false"/>
        </w:trPr>
        <w:tc>
          <w:tcPr>
            <w:tcW w:type="dxa" w:w="3600"/>
            <w:tcMar>
              <w:top w:type="dxa" w:w="90"/>
              <w:left w:type="dxa" w:w="130"/>
              <w:bottom w:type="dxa" w:w="90"/>
              <w:right w:type="dxa" w:w="130"/>
            </w:tcMar>
          </w:tcPr>
          <w:p>
            <w:pPr>
              <w:spacing w:after="0" w:line="260"/>
            </w:pPr>
            <w:r>
              <w:rPr>
                <w:b w:val="false"/>
                <w:bCs w:val="false"/>
                <w:sz w:val="20"/>
                <w:szCs w:val="20"/>
              </w:rPr>
              <w:t xml:space="preserve">Dormant account deletion</w:t>
            </w:r>
          </w:p>
        </w:tc>
        <w:tc>
          <w:tcPr>
            <w:tcW w:type="dxa" w:w="2200"/>
            <w:tcMar>
              <w:top w:type="dxa" w:w="90"/>
              <w:left w:type="dxa" w:w="130"/>
              <w:bottom w:type="dxa" w:w="90"/>
              <w:right w:type="dxa" w:w="130"/>
            </w:tcMar>
          </w:tcPr>
          <w:p>
            <w:pPr>
              <w:spacing w:after="0" w:line="260"/>
            </w:pPr>
            <w:r>
              <w:rPr>
                <w:b w:val="false"/>
                <w:bCs w:val="false"/>
                <w:sz w:val="20"/>
                <w:szCs w:val="20"/>
              </w:rPr>
              <w:t xml:space="preserve">90 days after disable</w:t>
            </w:r>
          </w:p>
        </w:tc>
        <w:tc>
          <w:tcPr>
            <w:tcW w:type="dxa" w:w="3560"/>
            <w:tcMar>
              <w:top w:type="dxa" w:w="90"/>
              <w:left w:type="dxa" w:w="130"/>
              <w:bottom w:type="dxa" w:w="90"/>
              <w:right w:type="dxa" w:w="130"/>
            </w:tcMar>
          </w:tcPr>
          <w:p>
            <w:pPr>
              <w:spacing w:after="0" w:line="260"/>
            </w:pPr>
            <w:r>
              <w:rPr>
                <w:b w:val="false"/>
                <w:bCs w:val="false"/>
                <w:sz w:val="20"/>
                <w:szCs w:val="20"/>
              </w:rPr>
              <w:t xml:space="preserve">Subject to any legal hold</w:t>
            </w:r>
          </w:p>
        </w:tc>
      </w:tr>
    </w:tbl>
    <w:p>
      <w:pPr>
        <w:pStyle w:val="Heading1"/>
        <w:spacing w:after="160" w:before="320"/>
      </w:pPr>
      <w:r>
        <w:t xml:space="preserve">6. Credential lifecycle</w:t>
      </w:r>
    </w:p>
    <w:p>
      <w:pPr>
        <w:pStyle w:val="ListParagraph"/>
        <w:numPr>
          <w:ilvl w:val="0"/>
          <w:numId w:val="2"/>
        </w:numPr>
        <w:spacing w:after="80" w:line="276"/>
      </w:pPr>
      <w:r>
        <w:rPr>
          <w:sz w:val="22"/>
          <w:szCs w:val="22"/>
        </w:rPr>
        <w:t xml:space="preserve">Credentials are issued only after the People Operations record confirms an active worker and induction training is complete.</w:t>
      </w:r>
    </w:p>
    <w:p>
      <w:pPr>
        <w:pStyle w:val="ListParagraph"/>
        <w:numPr>
          <w:ilvl w:val="0"/>
          <w:numId w:val="2"/>
        </w:numPr>
        <w:spacing w:after="80" w:line="276"/>
      </w:pPr>
      <w:r>
        <w:rPr>
          <w:sz w:val="22"/>
          <w:szCs w:val="22"/>
        </w:rPr>
        <w:t xml:space="preserve">Initial credentials are single-use and expire within 24 hours of issue.</w:t>
      </w:r>
    </w:p>
    <w:p>
      <w:pPr>
        <w:pStyle w:val="ListParagraph"/>
        <w:numPr>
          <w:ilvl w:val="0"/>
          <w:numId w:val="2"/>
        </w:numPr>
        <w:spacing w:after="80" w:line="276"/>
      </w:pPr>
      <w:r>
        <w:rPr>
          <w:sz w:val="22"/>
          <w:szCs w:val="22"/>
        </w:rPr>
        <w:t xml:space="preserve">Service account credentials are rotated at least annually, and immediately on departure of any individual who held or could have held them.</w:t>
      </w:r>
    </w:p>
    <w:p>
      <w:pPr>
        <w:pStyle w:val="ListParagraph"/>
        <w:numPr>
          <w:ilvl w:val="0"/>
          <w:numId w:val="2"/>
        </w:numPr>
        <w:spacing w:after="80" w:line="276"/>
      </w:pPr>
      <w:r>
        <w:rPr>
          <w:sz w:val="22"/>
          <w:szCs w:val="22"/>
        </w:rPr>
        <w:t xml:space="preserve">Cryptographic keys and API tokens follow AFT-ISMS-STD-09 Cryptographic Key Management Standard.</w:t>
      </w:r>
    </w:p>
    <w:p>
      <w:pPr>
        <w:pStyle w:val="ListParagraph"/>
        <w:numPr>
          <w:ilvl w:val="0"/>
          <w:numId w:val="2"/>
        </w:numPr>
        <w:spacing w:after="80" w:line="276"/>
      </w:pPr>
      <w:r>
        <w:rPr>
          <w:sz w:val="22"/>
          <w:szCs w:val="22"/>
        </w:rPr>
        <w:t xml:space="preserve">All credentials held by a departing privileged access holder are rotated within 24 hours of departure.</w:t>
      </w:r>
    </w:p>
    <w:p>
      <w:pPr>
        <w:pStyle w:val="ListParagraph"/>
        <w:numPr>
          <w:ilvl w:val="0"/>
          <w:numId w:val="2"/>
        </w:numPr>
        <w:spacing w:after="80" w:line="276"/>
      </w:pPr>
      <w:r>
        <w:rPr>
          <w:sz w:val="22"/>
          <w:szCs w:val="22"/>
        </w:rPr>
        <w:t xml:space="preserve">Credentials are revoked within four hours of the effective leaving time, and at or before notification for involuntary terminations.</w:t>
      </w:r>
    </w:p>
    <w:p>
      <w:pPr>
        <w:pStyle w:val="Heading1"/>
        <w:spacing w:after="160" w:before="320"/>
      </w:pPr>
      <w:r>
        <w:t xml:space="preserve">7. Identity verification for credential reset</w:t>
      </w:r>
    </w:p>
    <w:p>
      <w:pPr>
        <w:spacing w:after="140" w:line="276"/>
      </w:pPr>
      <w:r>
        <w:rPr>
          <w:sz w:val="22"/>
          <w:szCs w:val="22"/>
        </w:rPr>
        <w:t xml:space="preserve">Service desk credential reset is the most commonly abused route into an organisation, and social engineering of a help desk requires no technical capability at all.</w:t>
      </w:r>
    </w:p>
    <w:p>
      <w:pPr>
        <w:pStyle w:val="ListParagraph"/>
        <w:numPr>
          <w:ilvl w:val="0"/>
          <w:numId w:val="2"/>
        </w:numPr>
        <w:spacing w:after="80" w:line="276"/>
      </w:pPr>
      <w:r>
        <w:rPr>
          <w:sz w:val="22"/>
          <w:szCs w:val="22"/>
        </w:rPr>
        <w:t xml:space="preserve">Reset requests are verified through the identity platform’s self-service flow where the worker holds a registered factor.</w:t>
      </w:r>
    </w:p>
    <w:p>
      <w:pPr>
        <w:pStyle w:val="ListParagraph"/>
        <w:numPr>
          <w:ilvl w:val="0"/>
          <w:numId w:val="2"/>
        </w:numPr>
        <w:spacing w:after="80" w:line="276"/>
      </w:pPr>
      <w:r>
        <w:rPr>
          <w:sz w:val="22"/>
          <w:szCs w:val="22"/>
        </w:rPr>
        <w:t xml:space="preserve">Where self-service is unavailable, verification requires a video call with the worker on camera, confirmation of identity against the HR record, and confirmation from the line manager through a separate channel.</w:t>
      </w:r>
    </w:p>
    <w:p>
      <w:pPr>
        <w:pStyle w:val="ListParagraph"/>
        <w:numPr>
          <w:ilvl w:val="0"/>
          <w:numId w:val="2"/>
        </w:numPr>
        <w:spacing w:after="80" w:line="276"/>
      </w:pPr>
      <w:r>
        <w:rPr>
          <w:sz w:val="22"/>
          <w:szCs w:val="22"/>
        </w:rPr>
        <w:t xml:space="preserve">Verification by knowledge of personal details alone is not permitted. Employee number, date of birth and manager name are not secrets.</w:t>
      </w:r>
    </w:p>
    <w:p>
      <w:pPr>
        <w:pStyle w:val="ListParagraph"/>
        <w:numPr>
          <w:ilvl w:val="0"/>
          <w:numId w:val="2"/>
        </w:numPr>
        <w:spacing w:after="80" w:line="276"/>
      </w:pPr>
      <w:r>
        <w:rPr>
          <w:sz w:val="22"/>
          <w:szCs w:val="22"/>
        </w:rPr>
        <w:t xml:space="preserve">Reset of a privileged credential additionally requires approval by the Head of Identity and Access or a nominated deputy.</w:t>
      </w:r>
    </w:p>
    <w:p>
      <w:pPr>
        <w:pStyle w:val="ListParagraph"/>
        <w:numPr>
          <w:ilvl w:val="0"/>
          <w:numId w:val="2"/>
        </w:numPr>
        <w:spacing w:after="80" w:line="276"/>
      </w:pPr>
      <w:r>
        <w:rPr>
          <w:sz w:val="22"/>
          <w:szCs w:val="22"/>
        </w:rPr>
        <w:t xml:space="preserve">All resets are logged, and a spike in reset volume is a monitored detection use case.</w:t>
      </w:r>
    </w:p>
    <w:p>
      <w:pPr>
        <w:pStyle w:val="Heading1"/>
        <w:spacing w:after="160" w:before="320"/>
      </w:pPr>
      <w:r>
        <w:t xml:space="preserve">8. Known assessment tension: password expiry</w:t>
      </w:r>
    </w:p>
    <w:p>
      <w:pPr>
        <w:spacing w:after="140" w:line="276"/>
      </w:pPr>
      <w:r>
        <w:rPr>
          <w:sz w:val="22"/>
          <w:szCs w:val="22"/>
        </w:rPr>
        <w:t xml:space="preserve">Section 4 sets no routine password expiry, following NIST SP 800-63B, which has advised against arbitrary rotation since 2017 on the evidence that it drives predictable incremental changes and weakens rather than strengthens credentials.</w:t>
      </w:r>
    </w:p>
    <w:p>
      <w:pPr>
        <w:spacing w:after="140" w:line="276"/>
      </w:pPr>
      <w:r>
        <w:rPr>
          <w:sz w:val="22"/>
          <w:szCs w:val="22"/>
        </w:rPr>
        <w:t xml:space="preserve">Assessors and customer security questionnaires do not uniformly accept this. PCI DSS v4.0 permits the approach where dynamic analysis of account posture is performed, but a Level 1 assessment will ask for that justification. Some customer questionnaires still ask a closed question about rotation frequency and treat "none" as a deficiency.</w:t>
      </w:r>
    </w:p>
    <w:p>
      <w:pPr>
        <w:spacing w:after="140" w:line="276"/>
      </w:pPr>
      <w:r>
        <w:rPr>
          <w:sz w:val="22"/>
          <w:szCs w:val="22"/>
        </w:rPr>
        <w:t xml:space="preserve">The position is therefore documented here so that it is defended consistently rather than rediscovered at each assessment. Where a customer contract obliges Aldridge to apply rotation, that obligation is met for the systems in scope of the contract and recorded as an exception to this standard, with the contract cited.</w:t>
      </w:r>
    </w:p>
    <w:p>
      <w:pPr>
        <w:pStyle w:val="Heading1"/>
        <w:spacing w:after="160" w:before="320"/>
      </w:pPr>
      <w:r>
        <w:t xml:space="preserve">9. Exceptions</w:t>
      </w:r>
    </w:p>
    <w:p>
      <w:pPr>
        <w:spacing w:after="140" w:line="276"/>
      </w:pPr>
      <w:r>
        <w:rPr>
          <w:sz w:val="22"/>
          <w:szCs w:val="22"/>
        </w:rPr>
        <w:t xml:space="preserve">Exceptions are approved by the Chief Information Security Officer, are time-bound to ninety days, and require compensating controls. No exception is granted to the requirement for a second factor, to phishing-resistant authentication for privileged access, or to the leaver revocation timescale.</w:t>
      </w:r>
    </w:p>
    <w:p>
      <w:pPr>
        <w:pStyle w:val="Heading1"/>
        <w:spacing w:after="160" w:before="320"/>
      </w:pPr>
      <w:r>
        <w:t xml:space="preserve">10. Related documents</w:t>
      </w:r>
    </w:p>
    <w:p>
      <w:pPr>
        <w:pStyle w:val="ListParagraph"/>
        <w:numPr>
          <w:ilvl w:val="0"/>
          <w:numId w:val="2"/>
        </w:numPr>
        <w:spacing w:after="80" w:line="276"/>
      </w:pPr>
      <w:r>
        <w:rPr>
          <w:sz w:val="22"/>
          <w:szCs w:val="22"/>
        </w:rPr>
        <w:t xml:space="preserve">AFT-ISMS-POL-03 — Access Control Policy (the principles this standard implements)</w:t>
      </w:r>
    </w:p>
    <w:p>
      <w:pPr>
        <w:pStyle w:val="ListParagraph"/>
        <w:numPr>
          <w:ilvl w:val="0"/>
          <w:numId w:val="2"/>
        </w:numPr>
        <w:spacing w:after="80" w:line="276"/>
      </w:pPr>
      <w:r>
        <w:rPr>
          <w:sz w:val="22"/>
          <w:szCs w:val="22"/>
        </w:rPr>
        <w:t xml:space="preserve">AFT-ISMS-STD-06 — Privileged Access Management Standard</w:t>
      </w:r>
    </w:p>
    <w:p>
      <w:pPr>
        <w:pStyle w:val="ListParagraph"/>
        <w:numPr>
          <w:ilvl w:val="0"/>
          <w:numId w:val="2"/>
        </w:numPr>
        <w:spacing w:after="80" w:line="276"/>
      </w:pPr>
      <w:r>
        <w:rPr>
          <w:sz w:val="22"/>
          <w:szCs w:val="22"/>
        </w:rPr>
        <w:t xml:space="preserve">AFT-ISMS-STD-09 — Cryptographic Key Management Standard</w:t>
      </w:r>
    </w:p>
    <w:p>
      <w:pPr>
        <w:pStyle w:val="ListParagraph"/>
        <w:numPr>
          <w:ilvl w:val="0"/>
          <w:numId w:val="2"/>
        </w:numPr>
        <w:spacing w:after="80" w:line="276"/>
      </w:pPr>
      <w:r>
        <w:rPr>
          <w:sz w:val="22"/>
          <w:szCs w:val="22"/>
        </w:rPr>
        <w:t xml:space="preserve">AFT-ISMS-PRO-03 — Joiner, Mover and Leaver Procedure</w:t>
      </w:r>
    </w:p>
    <w:p>
      <w:pPr>
        <w:pStyle w:val="ListParagraph"/>
        <w:numPr>
          <w:ilvl w:val="0"/>
          <w:numId w:val="2"/>
        </w:numPr>
        <w:spacing w:after="80" w:line="276"/>
      </w:pPr>
      <w:r>
        <w:rPr>
          <w:sz w:val="22"/>
          <w:szCs w:val="22"/>
        </w:rPr>
        <w:t xml:space="preserve">AFT-CTX-01 section 16 — policy and standard tier convention</w:t>
      </w:r>
    </w:p>
    <w:p>
      <w:pPr>
        <w:pStyle w:val="Heading1"/>
        <w:spacing w:after="160" w:before="320"/>
      </w:pPr>
      <w:r>
        <w:t xml:space="preserve">11. Standards mapping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360"/>
        <w:gridCol w:w="2600"/>
      </w:tblGrid>
      <w:tr>
        <w:trPr>
          <w:tblHeader/>
        </w:trPr>
        <w:tc>
          <w:tcPr>
            <w:tcW w:type="dxa" w:w="2400"/>
            <w:shd w:fill="E7EAF0" w:color="auto" w:val="clear"/>
            <w:tcMar>
              <w:top w:type="dxa" w:w="90"/>
              <w:left w:type="dxa" w:w="130"/>
              <w:bottom w:type="dxa" w:w="90"/>
              <w:right w:type="dxa" w:w="130"/>
            </w:tcMar>
          </w:tcPr>
          <w:p>
            <w:pPr>
              <w:spacing w:after="0" w:line="260"/>
            </w:pPr>
            <w:r>
              <w:rPr>
                <w:b/>
                <w:bCs/>
                <w:sz w:val="20"/>
                <w:szCs w:val="20"/>
              </w:rPr>
              <w:t xml:space="preserve">Framework</w:t>
            </w:r>
          </w:p>
        </w:tc>
        <w:tc>
          <w:tcPr>
            <w:tcW w:type="dxa" w:w="4360"/>
            <w:shd w:fill="E7EAF0" w:color="auto" w:val="clear"/>
            <w:tcMar>
              <w:top w:type="dxa" w:w="90"/>
              <w:left w:type="dxa" w:w="130"/>
              <w:bottom w:type="dxa" w:w="90"/>
              <w:right w:type="dxa" w:w="130"/>
            </w:tcMar>
          </w:tcPr>
          <w:p>
            <w:pPr>
              <w:spacing w:after="0" w:line="260"/>
            </w:pPr>
            <w:r>
              <w:rPr>
                <w:b/>
                <w:bCs/>
                <w:sz w:val="20"/>
                <w:szCs w:val="20"/>
              </w:rPr>
              <w:t xml:space="preserve">Reference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Control theme</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A.5.17, A.8.5</w:t>
            </w:r>
          </w:p>
        </w:tc>
        <w:tc>
          <w:tcPr>
            <w:tcW w:type="dxa" w:w="2600"/>
            <w:tcMar>
              <w:top w:type="dxa" w:w="90"/>
              <w:left w:type="dxa" w:w="130"/>
              <w:bottom w:type="dxa" w:w="90"/>
              <w:right w:type="dxa" w:w="130"/>
            </w:tcMar>
          </w:tcPr>
          <w:p>
            <w:pPr>
              <w:spacing w:after="0" w:line="260"/>
            </w:pPr>
            <w:r>
              <w:rPr>
                <w:b w:val="false"/>
                <w:bCs w:val="false"/>
                <w:sz w:val="20"/>
                <w:szCs w:val="20"/>
              </w:rPr>
              <w:t xml:space="preserve">Authentication information; secure authentication</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ISO/IEC 27001:2022 Annex A</w:t>
            </w:r>
          </w:p>
        </w:tc>
        <w:tc>
          <w:tcPr>
            <w:tcW w:type="dxa" w:w="4360"/>
            <w:tcMar>
              <w:top w:type="dxa" w:w="90"/>
              <w:left w:type="dxa" w:w="130"/>
              <w:bottom w:type="dxa" w:w="90"/>
              <w:right w:type="dxa" w:w="130"/>
            </w:tcMar>
          </w:tcPr>
          <w:p>
            <w:pPr>
              <w:spacing w:after="0" w:line="260"/>
            </w:pPr>
            <w:r>
              <w:rPr>
                <w:b w:val="false"/>
                <w:bCs w:val="false"/>
                <w:sz w:val="20"/>
                <w:szCs w:val="20"/>
              </w:rPr>
              <w:t xml:space="preserve">A.5.16, A.5.18</w:t>
            </w:r>
          </w:p>
        </w:tc>
        <w:tc>
          <w:tcPr>
            <w:tcW w:type="dxa" w:w="2600"/>
            <w:tcMar>
              <w:top w:type="dxa" w:w="90"/>
              <w:left w:type="dxa" w:w="130"/>
              <w:bottom w:type="dxa" w:w="90"/>
              <w:right w:type="dxa" w:w="130"/>
            </w:tcMar>
          </w:tcPr>
          <w:p>
            <w:pPr>
              <w:spacing w:after="0" w:line="260"/>
            </w:pPr>
            <w:r>
              <w:rPr>
                <w:b w:val="false"/>
                <w:bCs w:val="false"/>
                <w:sz w:val="20"/>
                <w:szCs w:val="20"/>
              </w:rPr>
              <w:t xml:space="preserve">Identity management; access rights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NIST SP 800-63B</w:t>
            </w:r>
          </w:p>
        </w:tc>
        <w:tc>
          <w:tcPr>
            <w:tcW w:type="dxa" w:w="4360"/>
            <w:tcMar>
              <w:top w:type="dxa" w:w="90"/>
              <w:left w:type="dxa" w:w="130"/>
              <w:bottom w:type="dxa" w:w="90"/>
              <w:right w:type="dxa" w:w="130"/>
            </w:tcMar>
          </w:tcPr>
          <w:p>
            <w:pPr>
              <w:spacing w:after="0" w:line="260"/>
            </w:pPr>
            <w:r>
              <w:rPr>
                <w:b w:val="false"/>
                <w:bCs w:val="false"/>
                <w:sz w:val="20"/>
                <w:szCs w:val="20"/>
              </w:rPr>
              <w:t xml:space="preserve">Sections 5.1.1, 5.2, 6.1</w:t>
            </w:r>
          </w:p>
        </w:tc>
        <w:tc>
          <w:tcPr>
            <w:tcW w:type="dxa" w:w="2600"/>
            <w:tcMar>
              <w:top w:type="dxa" w:w="90"/>
              <w:left w:type="dxa" w:w="130"/>
              <w:bottom w:type="dxa" w:w="90"/>
              <w:right w:type="dxa" w:w="130"/>
            </w:tcMar>
          </w:tcPr>
          <w:p>
            <w:pPr>
              <w:spacing w:after="0" w:line="260"/>
            </w:pPr>
            <w:r>
              <w:rPr>
                <w:b w:val="false"/>
                <w:bCs w:val="false"/>
                <w:sz w:val="20"/>
                <w:szCs w:val="20"/>
              </w:rPr>
              <w:t xml:space="preserve">Memorised secrets, authenticator requirements, reset</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PCI DSS v4.0</w:t>
            </w:r>
          </w:p>
        </w:tc>
        <w:tc>
          <w:tcPr>
            <w:tcW w:type="dxa" w:w="4360"/>
            <w:tcMar>
              <w:top w:type="dxa" w:w="90"/>
              <w:left w:type="dxa" w:w="130"/>
              <w:bottom w:type="dxa" w:w="90"/>
              <w:right w:type="dxa" w:w="130"/>
            </w:tcMar>
          </w:tcPr>
          <w:p>
            <w:pPr>
              <w:spacing w:after="0" w:line="260"/>
            </w:pPr>
            <w:r>
              <w:rPr>
                <w:b w:val="false"/>
                <w:bCs w:val="false"/>
                <w:sz w:val="20"/>
                <w:szCs w:val="20"/>
              </w:rPr>
              <w:t xml:space="preserve">Requirement 8.3, 8.4, 8.6</w:t>
            </w:r>
          </w:p>
        </w:tc>
        <w:tc>
          <w:tcPr>
            <w:tcW w:type="dxa" w:w="2600"/>
            <w:tcMar>
              <w:top w:type="dxa" w:w="90"/>
              <w:left w:type="dxa" w:w="130"/>
              <w:bottom w:type="dxa" w:w="90"/>
              <w:right w:type="dxa" w:w="130"/>
            </w:tcMar>
          </w:tcPr>
          <w:p>
            <w:pPr>
              <w:spacing w:after="0" w:line="260"/>
            </w:pPr>
            <w:r>
              <w:rPr>
                <w:b w:val="false"/>
                <w:bCs w:val="false"/>
                <w:sz w:val="20"/>
                <w:szCs w:val="20"/>
              </w:rPr>
              <w:t xml:space="preserve">Authentication, MFA, service account credentials</w:t>
            </w:r>
          </w:p>
        </w:tc>
      </w:tr>
      <w:tr>
        <w:trPr>
          <w:tblHeader w:val="false"/>
        </w:trPr>
        <w:tc>
          <w:tcPr>
            <w:tcW w:type="dxa" w:w="2400"/>
            <w:tcMar>
              <w:top w:type="dxa" w:w="90"/>
              <w:left w:type="dxa" w:w="130"/>
              <w:bottom w:type="dxa" w:w="90"/>
              <w:right w:type="dxa" w:w="130"/>
            </w:tcMar>
          </w:tcPr>
          <w:p>
            <w:pPr>
              <w:spacing w:after="0" w:line="260"/>
            </w:pPr>
            <w:r>
              <w:rPr>
                <w:b w:val="false"/>
                <w:bCs w:val="false"/>
                <w:sz w:val="20"/>
                <w:szCs w:val="20"/>
              </w:rPr>
              <w:t xml:space="preserve">NYDFS Part 500</w:t>
            </w:r>
          </w:p>
        </w:tc>
        <w:tc>
          <w:tcPr>
            <w:tcW w:type="dxa" w:w="4360"/>
            <w:tcMar>
              <w:top w:type="dxa" w:w="90"/>
              <w:left w:type="dxa" w:w="130"/>
              <w:bottom w:type="dxa" w:w="90"/>
              <w:right w:type="dxa" w:w="130"/>
            </w:tcMar>
          </w:tcPr>
          <w:p>
            <w:pPr>
              <w:spacing w:after="0" w:line="260"/>
            </w:pPr>
            <w:r>
              <w:rPr>
                <w:b w:val="false"/>
                <w:bCs w:val="false"/>
                <w:sz w:val="20"/>
                <w:szCs w:val="20"/>
              </w:rPr>
              <w:t xml:space="preserve">500.12</w:t>
            </w:r>
          </w:p>
        </w:tc>
        <w:tc>
          <w:tcPr>
            <w:tcW w:type="dxa" w:w="2600"/>
            <w:tcMar>
              <w:top w:type="dxa" w:w="90"/>
              <w:left w:type="dxa" w:w="130"/>
              <w:bottom w:type="dxa" w:w="90"/>
              <w:right w:type="dxa" w:w="130"/>
            </w:tcMar>
          </w:tcPr>
          <w:p>
            <w:pPr>
              <w:spacing w:after="0" w:line="260"/>
            </w:pPr>
            <w:r>
              <w:rPr>
                <w:b w:val="false"/>
                <w:bCs w:val="false"/>
                <w:sz w:val="20"/>
                <w:szCs w:val="20"/>
              </w:rPr>
              <w:t xml:space="preserve">Multi-factor authentication</w:t>
            </w:r>
          </w:p>
        </w:tc>
      </w:tr>
    </w:tbl>
    <w:p>
      <w:pPr>
        <w:pStyle w:val="Heading1"/>
        <w:spacing w:after="160" w:before="320"/>
      </w:pPr>
      <w:r>
        <w:t xml:space="preserve">12. Revision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900"/>
        <w:gridCol w:w="2600"/>
        <w:gridCol w:w="3660"/>
      </w:tblGrid>
      <w:tr>
        <w:trPr>
          <w:tblHeader/>
        </w:trPr>
        <w:tc>
          <w:tcPr>
            <w:tcW w:type="dxa" w:w="1200"/>
            <w:shd w:fill="E7EAF0" w:color="auto" w:val="clear"/>
            <w:tcMar>
              <w:top w:type="dxa" w:w="90"/>
              <w:left w:type="dxa" w:w="130"/>
              <w:bottom w:type="dxa" w:w="90"/>
              <w:right w:type="dxa" w:w="130"/>
            </w:tcMar>
          </w:tcPr>
          <w:p>
            <w:pPr>
              <w:spacing w:after="0" w:line="260"/>
            </w:pPr>
            <w:r>
              <w:rPr>
                <w:b/>
                <w:bCs/>
                <w:sz w:val="20"/>
                <w:szCs w:val="20"/>
              </w:rPr>
              <w:t xml:space="preserve">Version</w:t>
            </w:r>
          </w:p>
        </w:tc>
        <w:tc>
          <w:tcPr>
            <w:tcW w:type="dxa" w:w="1900"/>
            <w:shd w:fill="E7EAF0" w:color="auto" w:val="clear"/>
            <w:tcMar>
              <w:top w:type="dxa" w:w="90"/>
              <w:left w:type="dxa" w:w="130"/>
              <w:bottom w:type="dxa" w:w="90"/>
              <w:right w:type="dxa" w:w="130"/>
            </w:tcMar>
          </w:tcPr>
          <w:p>
            <w:pPr>
              <w:spacing w:after="0" w:line="260"/>
            </w:pPr>
            <w:r>
              <w:rPr>
                <w:b/>
                <w:bCs/>
                <w:sz w:val="20"/>
                <w:szCs w:val="20"/>
              </w:rPr>
              <w:t xml:space="preserve">Date</w:t>
            </w:r>
          </w:p>
        </w:tc>
        <w:tc>
          <w:tcPr>
            <w:tcW w:type="dxa" w:w="2600"/>
            <w:shd w:fill="E7EAF0" w:color="auto" w:val="clear"/>
            <w:tcMar>
              <w:top w:type="dxa" w:w="90"/>
              <w:left w:type="dxa" w:w="130"/>
              <w:bottom w:type="dxa" w:w="90"/>
              <w:right w:type="dxa" w:w="130"/>
            </w:tcMar>
          </w:tcPr>
          <w:p>
            <w:pPr>
              <w:spacing w:after="0" w:line="260"/>
            </w:pPr>
            <w:r>
              <w:rPr>
                <w:b/>
                <w:bCs/>
                <w:sz w:val="20"/>
                <w:szCs w:val="20"/>
              </w:rPr>
              <w:t xml:space="preserve">Author</w:t>
            </w:r>
          </w:p>
        </w:tc>
        <w:tc>
          <w:tcPr>
            <w:tcW w:type="dxa" w:w="3660"/>
            <w:shd w:fill="E7EAF0" w:color="auto" w:val="clear"/>
            <w:tcMar>
              <w:top w:type="dxa" w:w="90"/>
              <w:left w:type="dxa" w:w="130"/>
              <w:bottom w:type="dxa" w:w="90"/>
              <w:right w:type="dxa" w:w="130"/>
            </w:tcMar>
          </w:tcPr>
          <w:p>
            <w:pPr>
              <w:spacing w:after="0" w:line="260"/>
            </w:pPr>
            <w:r>
              <w:rPr>
                <w:b/>
                <w:bCs/>
                <w:sz w:val="20"/>
                <w:szCs w:val="20"/>
              </w:rPr>
              <w:t xml:space="preserve">Summary of change</w:t>
            </w:r>
          </w:p>
        </w:tc>
      </w:tr>
      <w:tr>
        <w:trPr>
          <w:tblHeader w:val="false"/>
        </w:trPr>
        <w:tc>
          <w:tcPr>
            <w:tcW w:type="dxa" w:w="1200"/>
            <w:tcMar>
              <w:top w:type="dxa" w:w="90"/>
              <w:left w:type="dxa" w:w="130"/>
              <w:bottom w:type="dxa" w:w="90"/>
              <w:right w:type="dxa" w:w="130"/>
            </w:tcMar>
          </w:tcPr>
          <w:p>
            <w:pPr>
              <w:spacing w:after="0" w:line="260"/>
            </w:pPr>
            <w:r>
              <w:rPr>
                <w:b w:val="false"/>
                <w:bCs w:val="false"/>
                <w:sz w:val="20"/>
                <w:szCs w:val="20"/>
              </w:rPr>
              <w:t xml:space="preserve">1.0</w:t>
            </w:r>
          </w:p>
        </w:tc>
        <w:tc>
          <w:tcPr>
            <w:tcW w:type="dxa" w:w="1900"/>
            <w:tcMar>
              <w:top w:type="dxa" w:w="90"/>
              <w:left w:type="dxa" w:w="130"/>
              <w:bottom w:type="dxa" w:w="90"/>
              <w:right w:type="dxa" w:w="130"/>
            </w:tcMar>
          </w:tcPr>
          <w:p>
            <w:pPr>
              <w:spacing w:after="0" w:line="260"/>
            </w:pPr>
            <w:r>
              <w:rPr>
                <w:b w:val="false"/>
                <w:bCs w:val="false"/>
                <w:sz w:val="20"/>
                <w:szCs w:val="20"/>
              </w:rPr>
              <w:t xml:space="preserve">1 October 2026</w:t>
            </w:r>
          </w:p>
        </w:tc>
        <w:tc>
          <w:tcPr>
            <w:tcW w:type="dxa" w:w="2600"/>
            <w:tcMar>
              <w:top w:type="dxa" w:w="90"/>
              <w:left w:type="dxa" w:w="130"/>
              <w:bottom w:type="dxa" w:w="90"/>
              <w:right w:type="dxa" w:w="130"/>
            </w:tcMar>
          </w:tcPr>
          <w:p>
            <w:pPr>
              <w:spacing w:after="0" w:line="260"/>
            </w:pPr>
            <w:r>
              <w:rPr>
                <w:b w:val="false"/>
                <w:bCs w:val="false"/>
                <w:sz w:val="20"/>
                <w:szCs w:val="20"/>
              </w:rPr>
              <w:t xml:space="preserve">Head of Identity and Access</w:t>
            </w:r>
          </w:p>
        </w:tc>
        <w:tc>
          <w:tcPr>
            <w:tcW w:type="dxa" w:w="3660"/>
            <w:tcMar>
              <w:top w:type="dxa" w:w="90"/>
              <w:left w:type="dxa" w:w="130"/>
              <w:bottom w:type="dxa" w:w="90"/>
              <w:right w:type="dxa" w:w="130"/>
            </w:tcMar>
          </w:tcPr>
          <w:p>
            <w:pPr>
              <w:spacing w:after="0" w:line="260"/>
            </w:pPr>
            <w:r>
              <w:rPr>
                <w:b w:val="false"/>
                <w:bCs w:val="false"/>
                <w:sz w:val="20"/>
                <w:szCs w:val="20"/>
              </w:rPr>
              <w:t xml:space="preserve">Initial issue. Consolidates the authentication and credential parameters previously held in AFT-ISMS-POL-03 sections 4.4 and 4.7, correcting the tier assignment. Adds identity verification requirements for credential reset, and documents the password expiry position.</w:t>
            </w:r>
          </w:p>
        </w:tc>
      </w:tr>
    </w:tbl>
    <w:sectPr>
      <w:headerReference w:type="default" r:id="rId7"/>
      <w:footerReference w:type="default" r:id="rId8"/>
      <w:pgSz w:w="12240" w:h="15840" w:orient="portrait"/>
      <w:pgMar w:top="1180" w:right="1440" w:bottom="11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60"/>
    </w:pPr>
    <w:r>
      <w:rPr>
        <w:color w:val="44546A"/>
        <w:sz w:val="16"/>
        <w:szCs w:val="16"/>
      </w:rPr>
      <w:t xml:space="preserve">AFT-ISMS-STD-02  ·  Internal</w:t>
    </w:r>
    <w:r>
      <w:rPr>
        <w:color w:val="44546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b/>
        <w:bCs/>
        <w:color w:val="44546A"/>
        <w:sz w:val="17"/>
        <w:szCs w:val="17"/>
      </w:rPr>
      <w:t xml:space="preserve">Aldridge Financial Technologies</w:t>
    </w:r>
    <w:r>
      <w:rPr>
        <w:color w:val="44546A"/>
        <w:sz w:val="17"/>
        <w:szCs w:val="17"/>
      </w:rPr>
      <w:t xml:space="preserve">	Authentication and Credential Standard</w:t>
    </w:r>
  </w:p>
  <w:p>
    <w:pPr>
      <w:pBdr>
        <w:bottom w:val="single" w:color="BFBFBF" w:sz="6"/>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44546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Financial Technologies — Authentication and Credential Standard</dc:title>
  <dc:creator>Aldridge Financial Technologies — Information Security</dc:creator>
  <dc:description>Information Security Management System — Tier 3 Standard</dc:description>
  <cp:lastModifiedBy>Un-named</cp:lastModifiedBy>
  <cp:revision>1</cp:revision>
  <dcterms:created xsi:type="dcterms:W3CDTF">2026-09-10T01:04:16.715Z</dcterms:created>
  <dcterms:modified xsi:type="dcterms:W3CDTF">2026-09-10T01:04:16.722Z</dcterms:modified>
</cp:coreProperties>
</file>

<file path=docProps/custom.xml><?xml version="1.0" encoding="utf-8"?>
<Properties xmlns="http://schemas.openxmlformats.org/officeDocument/2006/custom-properties" xmlns:vt="http://schemas.openxmlformats.org/officeDocument/2006/docPropsVTypes"/>
</file>