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44546A"/>
          <w:spacing w:val="24"/>
          <w:sz w:val="19"/>
          <w:szCs w:val="19"/>
        </w:rPr>
        <w:t xml:space="preserve">ALDRIDGE FINANCIAL TECHNOLOGIES</w:t>
      </w:r>
    </w:p>
    <w:p>
      <w:pPr>
        <w:spacing w:after="60"/>
      </w:pPr>
      <w:r>
        <w:rPr>
          <w:b/>
          <w:bCs/>
          <w:color w:val="1F3864"/>
          <w:sz w:val="44"/>
          <w:szCs w:val="44"/>
        </w:rPr>
        <w:t xml:space="preserve">Data Classification and Handling Policy</w:t>
      </w:r>
    </w:p>
    <w:p>
      <w:pPr>
        <w:pBdr>
          <w:bottom w:val="single" w:color="1F3864" w:sz="12"/>
        </w:pBdr>
        <w:spacing w:after="240"/>
      </w:pPr>
      <w:r>
        <w:rPr>
          <w:i/>
          <w:iCs/>
          <w:color w:val="44546A"/>
          <w:sz w:val="22"/>
          <w:szCs w:val="22"/>
        </w:rPr>
        <w:t xml:space="preserve">Information Security Management System — Tier 2 Policy</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2480"/>
        <w:gridCol w:w="2200"/>
        <w:gridCol w:w="2480"/>
      </w:tblGrid>
      <w:tr>
        <w:trPr>
          <w:tblHeader w:val="false"/>
        </w:trPr>
        <w:tc>
          <w:tcPr>
            <w:tcW w:type="dxa" w:w="2200"/>
            <w:tcMar>
              <w:top w:type="dxa" w:w="90"/>
              <w:left w:type="dxa" w:w="130"/>
              <w:bottom w:type="dxa" w:w="90"/>
              <w:right w:type="dxa" w:w="130"/>
            </w:tcMar>
          </w:tcPr>
          <w:p>
            <w:pPr>
              <w:spacing w:after="0" w:line="260"/>
            </w:pPr>
            <w:r>
              <w:rPr>
                <w:b w:val="false"/>
                <w:bCs w:val="false"/>
                <w:sz w:val="20"/>
                <w:szCs w:val="20"/>
              </w:rPr>
              <w:t xml:space="preserve">Document reference</w:t>
            </w:r>
          </w:p>
        </w:tc>
        <w:tc>
          <w:tcPr>
            <w:tcW w:type="dxa" w:w="2480"/>
            <w:tcMar>
              <w:top w:type="dxa" w:w="90"/>
              <w:left w:type="dxa" w:w="130"/>
              <w:bottom w:type="dxa" w:w="90"/>
              <w:right w:type="dxa" w:w="130"/>
            </w:tcMar>
          </w:tcPr>
          <w:p>
            <w:pPr>
              <w:spacing w:after="0" w:line="260"/>
            </w:pPr>
            <w:r>
              <w:rPr>
                <w:b w:val="false"/>
                <w:bCs w:val="false"/>
                <w:sz w:val="20"/>
                <w:szCs w:val="20"/>
              </w:rPr>
              <w:t xml:space="preserve">AFT-ISMS-POL-04</w:t>
            </w:r>
          </w:p>
        </w:tc>
        <w:tc>
          <w:tcPr>
            <w:tcW w:type="dxa" w:w="2200"/>
            <w:tcMar>
              <w:top w:type="dxa" w:w="90"/>
              <w:left w:type="dxa" w:w="130"/>
              <w:bottom w:type="dxa" w:w="90"/>
              <w:right w:type="dxa" w:w="130"/>
            </w:tcMar>
          </w:tcPr>
          <w:p>
            <w:pPr>
              <w:spacing w:after="0" w:line="260"/>
            </w:pPr>
            <w:r>
              <w:rPr>
                <w:b w:val="false"/>
                <w:bCs w:val="false"/>
                <w:sz w:val="20"/>
                <w:szCs w:val="20"/>
              </w:rPr>
              <w:t xml:space="preserve">Version</w:t>
            </w:r>
          </w:p>
        </w:tc>
        <w:tc>
          <w:tcPr>
            <w:tcW w:type="dxa" w:w="2480"/>
            <w:tcMar>
              <w:top w:type="dxa" w:w="90"/>
              <w:left w:type="dxa" w:w="130"/>
              <w:bottom w:type="dxa" w:w="90"/>
              <w:right w:type="dxa" w:w="130"/>
            </w:tcMar>
          </w:tcPr>
          <w:p>
            <w:pPr>
              <w:spacing w:after="0" w:line="260"/>
            </w:pPr>
            <w:r>
              <w:rPr>
                <w:b w:val="false"/>
                <w:bCs w:val="false"/>
                <w:sz w:val="20"/>
                <w:szCs w:val="20"/>
              </w:rPr>
              <w:t xml:space="preserve">3.0</w:t>
            </w:r>
          </w:p>
        </w:tc>
      </w:tr>
      <w:tr>
        <w:trPr>
          <w:tblHeader w:val="false"/>
        </w:trPr>
        <w:tc>
          <w:tcPr>
            <w:tcW w:type="dxa" w:w="2200"/>
            <w:tcMar>
              <w:top w:type="dxa" w:w="90"/>
              <w:left w:type="dxa" w:w="130"/>
              <w:bottom w:type="dxa" w:w="90"/>
              <w:right w:type="dxa" w:w="130"/>
            </w:tcMar>
          </w:tcPr>
          <w:p>
            <w:pPr>
              <w:spacing w:after="0" w:line="260"/>
            </w:pPr>
            <w:r>
              <w:rPr>
                <w:b w:val="false"/>
                <w:bCs w:val="false"/>
                <w:sz w:val="20"/>
                <w:szCs w:val="20"/>
              </w:rPr>
              <w:t xml:space="preserve">Document owner</w:t>
            </w:r>
          </w:p>
        </w:tc>
        <w:tc>
          <w:tcPr>
            <w:tcW w:type="dxa" w:w="2480"/>
            <w:tcMar>
              <w:top w:type="dxa" w:w="90"/>
              <w:left w:type="dxa" w:w="130"/>
              <w:bottom w:type="dxa" w:w="90"/>
              <w:right w:type="dxa" w:w="130"/>
            </w:tcMar>
          </w:tcPr>
          <w:p>
            <w:pPr>
              <w:spacing w:after="0" w:line="260"/>
            </w:pPr>
            <w:r>
              <w:rPr>
                <w:b w:val="false"/>
                <w:bCs w:val="false"/>
                <w:sz w:val="20"/>
                <w:szCs w:val="20"/>
              </w:rPr>
              <w:t xml:space="preserve">Chief Information Security Officer</w:t>
            </w:r>
          </w:p>
        </w:tc>
        <w:tc>
          <w:tcPr>
            <w:tcW w:type="dxa" w:w="2200"/>
            <w:tcMar>
              <w:top w:type="dxa" w:w="90"/>
              <w:left w:type="dxa" w:w="130"/>
              <w:bottom w:type="dxa" w:w="90"/>
              <w:right w:type="dxa" w:w="130"/>
            </w:tcMar>
          </w:tcPr>
          <w:p>
            <w:pPr>
              <w:spacing w:after="0" w:line="260"/>
            </w:pPr>
            <w:r>
              <w:rPr>
                <w:b w:val="false"/>
                <w:bCs w:val="false"/>
                <w:sz w:val="20"/>
                <w:szCs w:val="20"/>
              </w:rPr>
              <w:t xml:space="preserve">Approved by</w:t>
            </w:r>
          </w:p>
        </w:tc>
        <w:tc>
          <w:tcPr>
            <w:tcW w:type="dxa" w:w="2480"/>
            <w:tcMar>
              <w:top w:type="dxa" w:w="90"/>
              <w:left w:type="dxa" w:w="130"/>
              <w:bottom w:type="dxa" w:w="90"/>
              <w:right w:type="dxa" w:w="130"/>
            </w:tcMar>
          </w:tcPr>
          <w:p>
            <w:pPr>
              <w:spacing w:after="0" w:line="260"/>
            </w:pPr>
            <w:r>
              <w:rPr>
                <w:b w:val="false"/>
                <w:bCs w:val="false"/>
                <w:sz w:val="20"/>
                <w:szCs w:val="20"/>
              </w:rPr>
              <w:t xml:space="preserve">Executive Risk Committee</w:t>
            </w:r>
          </w:p>
        </w:tc>
      </w:tr>
      <w:tr>
        <w:trPr>
          <w:tblHeader w:val="false"/>
        </w:trPr>
        <w:tc>
          <w:tcPr>
            <w:tcW w:type="dxa" w:w="2200"/>
            <w:tcMar>
              <w:top w:type="dxa" w:w="90"/>
              <w:left w:type="dxa" w:w="130"/>
              <w:bottom w:type="dxa" w:w="90"/>
              <w:right w:type="dxa" w:w="130"/>
            </w:tcMar>
          </w:tcPr>
          <w:p>
            <w:pPr>
              <w:spacing w:after="0" w:line="260"/>
            </w:pPr>
            <w:r>
              <w:rPr>
                <w:b w:val="false"/>
                <w:bCs w:val="false"/>
                <w:sz w:val="20"/>
                <w:szCs w:val="20"/>
              </w:rPr>
              <w:t xml:space="preserve">Effective date</w:t>
            </w:r>
          </w:p>
        </w:tc>
        <w:tc>
          <w:tcPr>
            <w:tcW w:type="dxa" w:w="2480"/>
            <w:tcMar>
              <w:top w:type="dxa" w:w="90"/>
              <w:left w:type="dxa" w:w="130"/>
              <w:bottom w:type="dxa" w:w="90"/>
              <w:right w:type="dxa" w:w="130"/>
            </w:tcMar>
          </w:tcPr>
          <w:p>
            <w:pPr>
              <w:spacing w:after="0" w:line="260"/>
            </w:pPr>
            <w:r>
              <w:rPr>
                <w:b w:val="false"/>
                <w:bCs w:val="false"/>
                <w:sz w:val="20"/>
                <w:szCs w:val="20"/>
              </w:rPr>
              <w:t xml:space="preserve">1 October 2026</w:t>
            </w:r>
          </w:p>
        </w:tc>
        <w:tc>
          <w:tcPr>
            <w:tcW w:type="dxa" w:w="2200"/>
            <w:tcMar>
              <w:top w:type="dxa" w:w="90"/>
              <w:left w:type="dxa" w:w="130"/>
              <w:bottom w:type="dxa" w:w="90"/>
              <w:right w:type="dxa" w:w="130"/>
            </w:tcMar>
          </w:tcPr>
          <w:p>
            <w:pPr>
              <w:spacing w:after="0" w:line="260"/>
            </w:pPr>
            <w:r>
              <w:rPr>
                <w:b w:val="false"/>
                <w:bCs w:val="false"/>
                <w:sz w:val="20"/>
                <w:szCs w:val="20"/>
              </w:rPr>
              <w:t xml:space="preserve">Next review</w:t>
            </w:r>
          </w:p>
        </w:tc>
        <w:tc>
          <w:tcPr>
            <w:tcW w:type="dxa" w:w="2480"/>
            <w:tcMar>
              <w:top w:type="dxa" w:w="90"/>
              <w:left w:type="dxa" w:w="130"/>
              <w:bottom w:type="dxa" w:w="90"/>
              <w:right w:type="dxa" w:w="130"/>
            </w:tcMar>
          </w:tcPr>
          <w:p>
            <w:pPr>
              <w:spacing w:after="0" w:line="260"/>
            </w:pPr>
            <w:r>
              <w:rPr>
                <w:b w:val="false"/>
                <w:bCs w:val="false"/>
                <w:sz w:val="20"/>
                <w:szCs w:val="20"/>
              </w:rPr>
              <w:t xml:space="preserve">1 October 2027</w:t>
            </w:r>
          </w:p>
        </w:tc>
      </w:tr>
      <w:tr>
        <w:trPr>
          <w:tblHeader w:val="false"/>
        </w:trPr>
        <w:tc>
          <w:tcPr>
            <w:tcW w:type="dxa" w:w="2200"/>
            <w:tcMar>
              <w:top w:type="dxa" w:w="90"/>
              <w:left w:type="dxa" w:w="130"/>
              <w:bottom w:type="dxa" w:w="90"/>
              <w:right w:type="dxa" w:w="130"/>
            </w:tcMar>
          </w:tcPr>
          <w:p>
            <w:pPr>
              <w:spacing w:after="0" w:line="260"/>
            </w:pPr>
            <w:r>
              <w:rPr>
                <w:b w:val="false"/>
                <w:bCs w:val="false"/>
                <w:sz w:val="20"/>
                <w:szCs w:val="20"/>
              </w:rPr>
              <w:t xml:space="preserve">Classification</w:t>
            </w:r>
          </w:p>
        </w:tc>
        <w:tc>
          <w:tcPr>
            <w:tcW w:type="dxa" w:w="2480"/>
            <w:tcMar>
              <w:top w:type="dxa" w:w="90"/>
              <w:left w:type="dxa" w:w="130"/>
              <w:bottom w:type="dxa" w:w="90"/>
              <w:right w:type="dxa" w:w="130"/>
            </w:tcMar>
          </w:tcPr>
          <w:p>
            <w:pPr>
              <w:spacing w:after="0" w:line="260"/>
            </w:pPr>
            <w:r>
              <w:rPr>
                <w:b w:val="false"/>
                <w:bCs w:val="false"/>
                <w:sz w:val="20"/>
                <w:szCs w:val="20"/>
              </w:rPr>
              <w:t xml:space="preserve">Internal</w:t>
            </w:r>
          </w:p>
        </w:tc>
        <w:tc>
          <w:tcPr>
            <w:tcW w:type="dxa" w:w="2200"/>
            <w:tcMar>
              <w:top w:type="dxa" w:w="90"/>
              <w:left w:type="dxa" w:w="130"/>
              <w:bottom w:type="dxa" w:w="90"/>
              <w:right w:type="dxa" w:w="130"/>
            </w:tcMar>
          </w:tcPr>
          <w:p>
            <w:pPr>
              <w:spacing w:after="0" w:line="260"/>
            </w:pPr>
            <w:r>
              <w:rPr>
                <w:b w:val="false"/>
                <w:bCs w:val="false"/>
                <w:sz w:val="20"/>
                <w:szCs w:val="20"/>
              </w:rPr>
              <w:t xml:space="preserve">Applies to</w:t>
            </w:r>
          </w:p>
        </w:tc>
        <w:tc>
          <w:tcPr>
            <w:tcW w:type="dxa" w:w="2480"/>
            <w:tcMar>
              <w:top w:type="dxa" w:w="90"/>
              <w:left w:type="dxa" w:w="130"/>
              <w:bottom w:type="dxa" w:w="90"/>
              <w:right w:type="dxa" w:w="130"/>
            </w:tcMar>
          </w:tcPr>
          <w:p>
            <w:pPr>
              <w:spacing w:after="0" w:line="260"/>
            </w:pPr>
            <w:r>
              <w:rPr>
                <w:b w:val="false"/>
                <w:bCs w:val="false"/>
                <w:sz w:val="20"/>
                <w:szCs w:val="20"/>
              </w:rPr>
              <w:t xml:space="preserve">All workers and all company information</w:t>
            </w:r>
          </w:p>
        </w:tc>
      </w:tr>
    </w:tbl>
    <w:p>
      <w:pPr>
        <w:spacing w:after="240"/>
      </w:pPr>
    </w:p>
    <w:p>
      <w:pPr>
        <w:pStyle w:val="Heading2"/>
        <w:spacing w:after="120" w:before="12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ageBreakBefore/>
        <w:spacing w:after="0"/>
      </w:pPr>
    </w:p>
    <w:p>
      <w:pPr>
        <w:pStyle w:val="Heading1"/>
        <w:spacing w:after="160" w:before="320"/>
      </w:pPr>
      <w:r>
        <w:t xml:space="preserve">1. Purpose</w:t>
      </w:r>
    </w:p>
    <w:p>
      <w:pPr>
        <w:spacing w:after="140" w:line="276"/>
      </w:pPr>
      <w:r>
        <w:rPr>
          <w:sz w:val="22"/>
          <w:szCs w:val="22"/>
        </w:rPr>
        <w:t xml:space="preserve">This policy establishes a common scheme for classifying Aldridge Financial Technologies information according to its sensitivity, and defines the handling requirements that apply at each level. Its purpose is to ensure that protection is proportionate: that the company’s most sensitive information receives strong controls, and that ordinary information is not encumbered by controls it does not need.</w:t>
      </w:r>
    </w:p>
    <w:p>
      <w:pPr>
        <w:spacing w:after="140" w:line="276"/>
      </w:pPr>
      <w:r>
        <w:rPr>
          <w:sz w:val="22"/>
          <w:szCs w:val="22"/>
        </w:rPr>
        <w:t xml:space="preserve">Classification is the mechanism by which every other control in the management system is targeted. Encryption, access restriction, retention and disposal all depend on knowing what a given item of information is.</w:t>
      </w:r>
    </w:p>
    <w:p>
      <w:pPr>
        <w:pStyle w:val="Heading1"/>
        <w:spacing w:after="160" w:before="320"/>
      </w:pPr>
      <w:r>
        <w:t xml:space="preserve">2. Scope</w:t>
      </w:r>
    </w:p>
    <w:p>
      <w:pPr>
        <w:spacing w:after="140" w:line="276"/>
      </w:pPr>
      <w:r>
        <w:rPr>
          <w:sz w:val="22"/>
          <w:szCs w:val="22"/>
        </w:rPr>
        <w:t xml:space="preserve">This policy applies to all information created, received, processed, stored or transmitted by or on behalf of the company, in any format — electronic, physical or verbal — and throughout its lifecycle from creation to disposal. It applies to information held by third parties on the company’s behalf.</w:t>
      </w:r>
    </w:p>
    <w:p>
      <w:pPr>
        <w:pStyle w:val="Heading1"/>
        <w:spacing w:after="160" w:before="320"/>
      </w:pPr>
      <w:r>
        <w:t xml:space="preserve">3. Obligations this policy gives effect to</w:t>
      </w:r>
    </w:p>
    <w:p>
      <w:pPr>
        <w:spacing w:after="140" w:line="276"/>
      </w:pPr>
      <w:r>
        <w:rPr>
          <w:sz w:val="22"/>
          <w:szCs w:val="22"/>
        </w:rPr>
        <w:t xml:space="preserve">Classification at Aldridge is driven by more than information security risk. As a money services business licensed in forty-four states, operating under a sponsor bank arrangement, with an FCA-authorised subsidiary, the company holds categories of information whose handling is dictated by financial crime and record-keeping law rather than by sensitivity alone. Those obligations are recorded here because a classification scheme that ignores them will misclassify the most tightly controlled material the company holds.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6760"/>
      </w:tblGrid>
      <w:tr>
        <w:trPr>
          <w:tblHeader/>
        </w:trPr>
        <w:tc>
          <w:tcPr>
            <w:tcW w:type="dxa" w:w="2600"/>
            <w:shd w:fill="E7EAF0" w:color="auto" w:val="clear"/>
            <w:tcMar>
              <w:top w:type="dxa" w:w="90"/>
              <w:left w:type="dxa" w:w="130"/>
              <w:bottom w:type="dxa" w:w="90"/>
              <w:right w:type="dxa" w:w="130"/>
            </w:tcMar>
          </w:tcPr>
          <w:p>
            <w:pPr>
              <w:spacing w:after="0" w:line="260"/>
            </w:pPr>
            <w:r>
              <w:rPr>
                <w:b/>
                <w:bCs/>
                <w:sz w:val="20"/>
                <w:szCs w:val="20"/>
              </w:rPr>
              <w:t xml:space="preserve">Obligation</w:t>
            </w:r>
          </w:p>
        </w:tc>
        <w:tc>
          <w:tcPr>
            <w:tcW w:type="dxa" w:w="6760"/>
            <w:shd w:fill="E7EAF0" w:color="auto" w:val="clear"/>
            <w:tcMar>
              <w:top w:type="dxa" w:w="90"/>
              <w:left w:type="dxa" w:w="130"/>
              <w:bottom w:type="dxa" w:w="90"/>
              <w:right w:type="dxa" w:w="130"/>
            </w:tcMar>
          </w:tcPr>
          <w:p>
            <w:pPr>
              <w:spacing w:after="0" w:line="260"/>
            </w:pPr>
            <w:r>
              <w:rPr>
                <w:b/>
                <w:bCs/>
                <w:sz w:val="20"/>
                <w:szCs w:val="20"/>
              </w:rPr>
              <w:t xml:space="preserve">Effect on classification and handling</w:t>
            </w:r>
          </w:p>
        </w:tc>
      </w:tr>
      <w:tr>
        <w:trPr>
          <w:tblHeader w:val="false"/>
        </w:trPr>
        <w:tc>
          <w:tcPr>
            <w:tcW w:type="dxa" w:w="2600"/>
            <w:tcMar>
              <w:top w:type="dxa" w:w="90"/>
              <w:left w:type="dxa" w:w="130"/>
              <w:bottom w:type="dxa" w:w="90"/>
              <w:right w:type="dxa" w:w="130"/>
            </w:tcMar>
          </w:tcPr>
          <w:p>
            <w:pPr>
              <w:spacing w:after="0" w:line="260"/>
            </w:pPr>
            <w:r>
              <w:rPr>
                <w:b w:val="false"/>
                <w:bCs w:val="false"/>
                <w:sz w:val="20"/>
                <w:szCs w:val="20"/>
              </w:rPr>
              <w:t xml:space="preserve">Bank Secrecy Act record-keeping</w:t>
            </w:r>
          </w:p>
        </w:tc>
        <w:tc>
          <w:tcPr>
            <w:tcW w:type="dxa" w:w="6760"/>
            <w:tcMar>
              <w:top w:type="dxa" w:w="90"/>
              <w:left w:type="dxa" w:w="130"/>
              <w:bottom w:type="dxa" w:w="90"/>
              <w:right w:type="dxa" w:w="130"/>
            </w:tcMar>
          </w:tcPr>
          <w:p>
            <w:pPr>
              <w:spacing w:after="0" w:line="260"/>
            </w:pPr>
            <w:r>
              <w:rPr>
                <w:b w:val="false"/>
                <w:bCs w:val="false"/>
                <w:sz w:val="20"/>
                <w:szCs w:val="20"/>
              </w:rPr>
              <w:t xml:space="preserve">Defined categories of transaction and customer record must be retained for the statutory period. Retention is a floor set by law, not a business preference, and it overrides any shorter period a business owner would prefer.</w:t>
            </w:r>
          </w:p>
        </w:tc>
      </w:tr>
      <w:tr>
        <w:trPr>
          <w:tblHeader w:val="false"/>
        </w:trPr>
        <w:tc>
          <w:tcPr>
            <w:tcW w:type="dxa" w:w="2600"/>
            <w:tcMar>
              <w:top w:type="dxa" w:w="90"/>
              <w:left w:type="dxa" w:w="130"/>
              <w:bottom w:type="dxa" w:w="90"/>
              <w:right w:type="dxa" w:w="130"/>
            </w:tcMar>
          </w:tcPr>
          <w:p>
            <w:pPr>
              <w:spacing w:after="0" w:line="260"/>
            </w:pPr>
            <w:r>
              <w:rPr>
                <w:b w:val="false"/>
                <w:bCs w:val="false"/>
                <w:sz w:val="20"/>
                <w:szCs w:val="20"/>
              </w:rPr>
              <w:t xml:space="preserve">State money transmitter record-keeping</w:t>
            </w:r>
          </w:p>
        </w:tc>
        <w:tc>
          <w:tcPr>
            <w:tcW w:type="dxa" w:w="6760"/>
            <w:tcMar>
              <w:top w:type="dxa" w:w="90"/>
              <w:left w:type="dxa" w:w="130"/>
              <w:bottom w:type="dxa" w:w="90"/>
              <w:right w:type="dxa" w:w="130"/>
            </w:tcMar>
          </w:tcPr>
          <w:p>
            <w:pPr>
              <w:spacing w:after="0" w:line="260"/>
            </w:pPr>
            <w:r>
              <w:rPr>
                <w:b w:val="false"/>
                <w:bCs w:val="false"/>
                <w:sz w:val="20"/>
                <w:szCs w:val="20"/>
              </w:rPr>
              <w:t xml:space="preserve">Examination-relevant records must be retained and producible across all licensed jurisdictions. The longest applicable state period governs.</w:t>
            </w:r>
          </w:p>
        </w:tc>
      </w:tr>
      <w:tr>
        <w:trPr>
          <w:tblHeader w:val="false"/>
        </w:trPr>
        <w:tc>
          <w:tcPr>
            <w:tcW w:type="dxa" w:w="2600"/>
            <w:tcMar>
              <w:top w:type="dxa" w:w="90"/>
              <w:left w:type="dxa" w:w="130"/>
              <w:bottom w:type="dxa" w:w="90"/>
              <w:right w:type="dxa" w:w="130"/>
            </w:tcMar>
          </w:tcPr>
          <w:p>
            <w:pPr>
              <w:spacing w:after="0" w:line="260"/>
            </w:pPr>
            <w:r>
              <w:rPr>
                <w:b w:val="false"/>
                <w:bCs w:val="false"/>
                <w:sz w:val="20"/>
                <w:szCs w:val="20"/>
              </w:rPr>
              <w:t xml:space="preserve">FCA record-keeping (UK entity)</w:t>
            </w:r>
          </w:p>
        </w:tc>
        <w:tc>
          <w:tcPr>
            <w:tcW w:type="dxa" w:w="6760"/>
            <w:tcMar>
              <w:top w:type="dxa" w:w="90"/>
              <w:left w:type="dxa" w:w="130"/>
              <w:bottom w:type="dxa" w:w="90"/>
              <w:right w:type="dxa" w:w="130"/>
            </w:tcMar>
          </w:tcPr>
          <w:p>
            <w:pPr>
              <w:spacing w:after="0" w:line="260"/>
            </w:pPr>
            <w:r>
              <w:rPr>
                <w:b w:val="false"/>
                <w:bCs w:val="false"/>
                <w:sz w:val="20"/>
                <w:szCs w:val="20"/>
              </w:rPr>
              <w:t xml:space="preserve">Records relating to regulated activity, including communications, must be retained for the periods in SYSC and the relevant sourcebooks.</w:t>
            </w:r>
          </w:p>
        </w:tc>
      </w:tr>
      <w:tr>
        <w:trPr>
          <w:tblHeader w:val="false"/>
        </w:trPr>
        <w:tc>
          <w:tcPr>
            <w:tcW w:type="dxa" w:w="2600"/>
            <w:tcMar>
              <w:top w:type="dxa" w:w="90"/>
              <w:left w:type="dxa" w:w="130"/>
              <w:bottom w:type="dxa" w:w="90"/>
              <w:right w:type="dxa" w:w="130"/>
            </w:tcMar>
          </w:tcPr>
          <w:p>
            <w:pPr>
              <w:spacing w:after="0" w:line="260"/>
            </w:pPr>
            <w:r>
              <w:rPr>
                <w:b w:val="false"/>
                <w:bCs w:val="false"/>
                <w:sz w:val="20"/>
                <w:szCs w:val="20"/>
              </w:rPr>
              <w:t xml:space="preserve">Suspicious activity reporting — tipping off</w:t>
            </w:r>
          </w:p>
        </w:tc>
        <w:tc>
          <w:tcPr>
            <w:tcW w:type="dxa" w:w="6760"/>
            <w:tcMar>
              <w:top w:type="dxa" w:w="90"/>
              <w:left w:type="dxa" w:w="130"/>
              <w:bottom w:type="dxa" w:w="90"/>
              <w:right w:type="dxa" w:w="130"/>
            </w:tcMar>
          </w:tcPr>
          <w:p>
            <w:pPr>
              <w:spacing w:after="0" w:line="260"/>
            </w:pPr>
            <w:r>
              <w:rPr>
                <w:b w:val="false"/>
                <w:bCs w:val="false"/>
                <w:sz w:val="20"/>
                <w:szCs w:val="20"/>
              </w:rPr>
              <w:t xml:space="preserve">The existence and content of a suspicion, a report, or an internal escalation must not be disclosed to the subject or to anyone who might inform them. This is a criminal offence in the United Kingdom and carries serious consequence in the United States. It requires a handling regime that restricts access within the company, not only outside it.</w:t>
            </w:r>
          </w:p>
        </w:tc>
      </w:tr>
      <w:tr>
        <w:trPr>
          <w:tblHeader w:val="false"/>
        </w:trPr>
        <w:tc>
          <w:tcPr>
            <w:tcW w:type="dxa" w:w="2600"/>
            <w:tcMar>
              <w:top w:type="dxa" w:w="90"/>
              <w:left w:type="dxa" w:w="130"/>
              <w:bottom w:type="dxa" w:w="90"/>
              <w:right w:type="dxa" w:w="130"/>
            </w:tcMar>
          </w:tcPr>
          <w:p>
            <w:pPr>
              <w:spacing w:after="0" w:line="260"/>
            </w:pPr>
            <w:r>
              <w:rPr>
                <w:b w:val="false"/>
                <w:bCs w:val="false"/>
                <w:sz w:val="20"/>
                <w:szCs w:val="20"/>
              </w:rPr>
              <w:t xml:space="preserve">OFAC sanctions</w:t>
            </w:r>
          </w:p>
        </w:tc>
        <w:tc>
          <w:tcPr>
            <w:tcW w:type="dxa" w:w="6760"/>
            <w:tcMar>
              <w:top w:type="dxa" w:w="90"/>
              <w:left w:type="dxa" w:w="130"/>
              <w:bottom w:type="dxa" w:w="90"/>
              <w:right w:type="dxa" w:w="130"/>
            </w:tcMar>
          </w:tcPr>
          <w:p>
            <w:pPr>
              <w:spacing w:after="0" w:line="260"/>
            </w:pPr>
            <w:r>
              <w:rPr>
                <w:b w:val="false"/>
                <w:bCs w:val="false"/>
                <w:sz w:val="20"/>
                <w:szCs w:val="20"/>
              </w:rPr>
              <w:t xml:space="preserve">Screening records, match investigations and blocking or rejection records must be retained and producible. Their disclosure to a subject can prejudice enforcement.</w:t>
            </w:r>
          </w:p>
        </w:tc>
      </w:tr>
      <w:tr>
        <w:trPr>
          <w:tblHeader w:val="false"/>
        </w:trPr>
        <w:tc>
          <w:tcPr>
            <w:tcW w:type="dxa" w:w="2600"/>
            <w:tcMar>
              <w:top w:type="dxa" w:w="90"/>
              <w:left w:type="dxa" w:w="130"/>
              <w:bottom w:type="dxa" w:w="90"/>
              <w:right w:type="dxa" w:w="130"/>
            </w:tcMar>
          </w:tcPr>
          <w:p>
            <w:pPr>
              <w:spacing w:after="0" w:line="260"/>
            </w:pPr>
            <w:r>
              <w:rPr>
                <w:b w:val="false"/>
                <w:bCs w:val="false"/>
                <w:sz w:val="20"/>
                <w:szCs w:val="20"/>
              </w:rPr>
              <w:t xml:space="preserve">UK GDPR / US state privacy law</w:t>
            </w:r>
          </w:p>
        </w:tc>
        <w:tc>
          <w:tcPr>
            <w:tcW w:type="dxa" w:w="6760"/>
            <w:tcMar>
              <w:top w:type="dxa" w:w="90"/>
              <w:left w:type="dxa" w:w="130"/>
              <w:bottom w:type="dxa" w:w="90"/>
              <w:right w:type="dxa" w:w="130"/>
            </w:tcMar>
          </w:tcPr>
          <w:p>
            <w:pPr>
              <w:spacing w:after="0" w:line="260"/>
            </w:pPr>
            <w:r>
              <w:rPr>
                <w:b w:val="false"/>
                <w:bCs w:val="false"/>
                <w:sz w:val="20"/>
                <w:szCs w:val="20"/>
              </w:rPr>
              <w:t xml:space="preserve">Personal data is subject to purpose limitation, storage limitation and data subject rights, which pull in the opposite direction to the retention floors above. Section 8 addresses the conflict.</w:t>
            </w:r>
          </w:p>
        </w:tc>
      </w:tr>
    </w:tbl>
    <w:p>
      <w:pPr>
        <w:pStyle w:val="Heading1"/>
        <w:spacing w:after="160" w:before="320"/>
      </w:pPr>
      <w:r>
        <w:t xml:space="preserve">4. Classification scheme</w:t>
      </w:r>
    </w:p>
    <w:p>
      <w:pPr>
        <w:spacing w:after="140" w:line="276"/>
      </w:pPr>
      <w:r>
        <w:rPr>
          <w:sz w:val="22"/>
          <w:szCs w:val="22"/>
        </w:rPr>
        <w:t xml:space="preserve">All company information is assigned one of four levels. Where information of differing levels is combined, the aggregate takes the highest classification present. Where a classification is not evident, the information is treated as Confidential until the owner determines otherwise.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560"/>
        <w:gridCol w:w="3300"/>
        <w:gridCol w:w="2250"/>
        <w:gridCol w:w="2250"/>
      </w:tblGrid>
      <w:tr>
        <w:trPr>
          <w:tblHeader/>
        </w:trPr>
        <w:tc>
          <w:tcPr>
            <w:tcW w:type="dxa" w:w="1560"/>
            <w:shd w:fill="E7EAF0" w:color="auto" w:val="clear"/>
            <w:tcMar>
              <w:top w:type="dxa" w:w="90"/>
              <w:left w:type="dxa" w:w="130"/>
              <w:bottom w:type="dxa" w:w="90"/>
              <w:right w:type="dxa" w:w="130"/>
            </w:tcMar>
          </w:tcPr>
          <w:p>
            <w:pPr>
              <w:spacing w:after="0" w:line="260"/>
            </w:pPr>
            <w:r>
              <w:rPr>
                <w:b/>
                <w:bCs/>
                <w:sz w:val="20"/>
                <w:szCs w:val="20"/>
              </w:rPr>
              <w:t xml:space="preserve">Level</w:t>
            </w:r>
          </w:p>
        </w:tc>
        <w:tc>
          <w:tcPr>
            <w:tcW w:type="dxa" w:w="3300"/>
            <w:shd w:fill="E7EAF0" w:color="auto" w:val="clear"/>
            <w:tcMar>
              <w:top w:type="dxa" w:w="90"/>
              <w:left w:type="dxa" w:w="130"/>
              <w:bottom w:type="dxa" w:w="90"/>
              <w:right w:type="dxa" w:w="130"/>
            </w:tcMar>
          </w:tcPr>
          <w:p>
            <w:pPr>
              <w:spacing w:after="0" w:line="260"/>
            </w:pPr>
            <w:r>
              <w:rPr>
                <w:b/>
                <w:bCs/>
                <w:sz w:val="20"/>
                <w:szCs w:val="20"/>
              </w:rPr>
              <w:t xml:space="preserve">Definition</w:t>
            </w:r>
          </w:p>
        </w:tc>
        <w:tc>
          <w:tcPr>
            <w:tcW w:type="dxa" w:w="2250"/>
            <w:shd w:fill="E7EAF0" w:color="auto" w:val="clear"/>
            <w:tcMar>
              <w:top w:type="dxa" w:w="90"/>
              <w:left w:type="dxa" w:w="130"/>
              <w:bottom w:type="dxa" w:w="90"/>
              <w:right w:type="dxa" w:w="130"/>
            </w:tcMar>
          </w:tcPr>
          <w:p>
            <w:pPr>
              <w:spacing w:after="0" w:line="260"/>
            </w:pPr>
            <w:r>
              <w:rPr>
                <w:b/>
                <w:bCs/>
                <w:sz w:val="20"/>
                <w:szCs w:val="20"/>
              </w:rPr>
              <w:t xml:space="preserve">Impact if disclosed</w:t>
            </w:r>
          </w:p>
        </w:tc>
        <w:tc>
          <w:tcPr>
            <w:tcW w:type="dxa" w:w="2250"/>
            <w:shd w:fill="E7EAF0" w:color="auto" w:val="clear"/>
            <w:tcMar>
              <w:top w:type="dxa" w:w="90"/>
              <w:left w:type="dxa" w:w="130"/>
              <w:bottom w:type="dxa" w:w="90"/>
              <w:right w:type="dxa" w:w="130"/>
            </w:tcMar>
          </w:tcPr>
          <w:p>
            <w:pPr>
              <w:spacing w:after="0" w:line="260"/>
            </w:pPr>
            <w:r>
              <w:rPr>
                <w:b/>
                <w:bCs/>
                <w:sz w:val="20"/>
                <w:szCs w:val="20"/>
              </w:rPr>
              <w:t xml:space="preserve">Examples</w:t>
            </w:r>
          </w:p>
        </w:tc>
      </w:tr>
      <w:tr>
        <w:trPr>
          <w:tblHeader w:val="false"/>
        </w:trPr>
        <w:tc>
          <w:tcPr>
            <w:tcW w:type="dxa" w:w="1560"/>
            <w:tcMar>
              <w:top w:type="dxa" w:w="90"/>
              <w:left w:type="dxa" w:w="130"/>
              <w:bottom w:type="dxa" w:w="90"/>
              <w:right w:type="dxa" w:w="130"/>
            </w:tcMar>
          </w:tcPr>
          <w:p>
            <w:pPr>
              <w:spacing w:after="0" w:line="260"/>
            </w:pPr>
            <w:r>
              <w:rPr>
                <w:b w:val="false"/>
                <w:bCs w:val="false"/>
                <w:sz w:val="20"/>
                <w:szCs w:val="20"/>
              </w:rPr>
              <w:t xml:space="preserve">Restricted</w:t>
            </w:r>
          </w:p>
        </w:tc>
        <w:tc>
          <w:tcPr>
            <w:tcW w:type="dxa" w:w="3300"/>
            <w:tcMar>
              <w:top w:type="dxa" w:w="90"/>
              <w:left w:type="dxa" w:w="130"/>
              <w:bottom w:type="dxa" w:w="90"/>
              <w:right w:type="dxa" w:w="130"/>
            </w:tcMar>
          </w:tcPr>
          <w:p>
            <w:pPr>
              <w:spacing w:after="0" w:line="260"/>
            </w:pPr>
            <w:r>
              <w:rPr>
                <w:b w:val="false"/>
                <w:bCs w:val="false"/>
                <w:sz w:val="20"/>
                <w:szCs w:val="20"/>
              </w:rPr>
              <w:t xml:space="preserve">Information whose unauthorised disclosure would cause severe harm to the company, its customers or individuals, or would breach a statutory or payment brand obligation.</w:t>
            </w:r>
          </w:p>
        </w:tc>
        <w:tc>
          <w:tcPr>
            <w:tcW w:type="dxa" w:w="2250"/>
            <w:tcMar>
              <w:top w:type="dxa" w:w="90"/>
              <w:left w:type="dxa" w:w="130"/>
              <w:bottom w:type="dxa" w:w="90"/>
              <w:right w:type="dxa" w:w="130"/>
            </w:tcMar>
          </w:tcPr>
          <w:p>
            <w:pPr>
              <w:spacing w:after="0" w:line="260"/>
            </w:pPr>
            <w:r>
              <w:rPr>
                <w:b w:val="false"/>
                <w:bCs w:val="false"/>
                <w:sz w:val="20"/>
                <w:szCs w:val="20"/>
              </w:rPr>
              <w:t xml:space="preserve">Severe: regulatory sanction, material financial loss, serious harm to individuals</w:t>
            </w:r>
          </w:p>
        </w:tc>
        <w:tc>
          <w:tcPr>
            <w:tcW w:type="dxa" w:w="2250"/>
            <w:tcMar>
              <w:top w:type="dxa" w:w="90"/>
              <w:left w:type="dxa" w:w="130"/>
              <w:bottom w:type="dxa" w:w="90"/>
              <w:right w:type="dxa" w:w="130"/>
            </w:tcMar>
          </w:tcPr>
          <w:p>
            <w:pPr>
              <w:spacing w:after="0" w:line="260"/>
            </w:pPr>
            <w:r>
              <w:rPr>
                <w:b w:val="false"/>
                <w:bCs w:val="false"/>
                <w:sz w:val="20"/>
                <w:szCs w:val="20"/>
              </w:rPr>
              <w:t xml:space="preserve">Cardholder data, full bank account and routing details, government identifiers, credentials and cryptographic keys, borrower credit files, security vulnerability details</w:t>
            </w:r>
          </w:p>
        </w:tc>
      </w:tr>
      <w:tr>
        <w:trPr>
          <w:tblHeader w:val="false"/>
        </w:trPr>
        <w:tc>
          <w:tcPr>
            <w:tcW w:type="dxa" w:w="1560"/>
            <w:tcMar>
              <w:top w:type="dxa" w:w="90"/>
              <w:left w:type="dxa" w:w="130"/>
              <w:bottom w:type="dxa" w:w="90"/>
              <w:right w:type="dxa" w:w="130"/>
            </w:tcMar>
          </w:tcPr>
          <w:p>
            <w:pPr>
              <w:spacing w:after="0" w:line="260"/>
            </w:pPr>
            <w:r>
              <w:rPr>
                <w:b w:val="false"/>
                <w:bCs w:val="false"/>
                <w:sz w:val="20"/>
                <w:szCs w:val="20"/>
              </w:rPr>
              <w:t xml:space="preserve">Confidential</w:t>
            </w:r>
          </w:p>
        </w:tc>
        <w:tc>
          <w:tcPr>
            <w:tcW w:type="dxa" w:w="3300"/>
            <w:tcMar>
              <w:top w:type="dxa" w:w="90"/>
              <w:left w:type="dxa" w:w="130"/>
              <w:bottom w:type="dxa" w:w="90"/>
              <w:right w:type="dxa" w:w="130"/>
            </w:tcMar>
          </w:tcPr>
          <w:p>
            <w:pPr>
              <w:spacing w:after="0" w:line="260"/>
            </w:pPr>
            <w:r>
              <w:rPr>
                <w:b w:val="false"/>
                <w:bCs w:val="false"/>
                <w:sz w:val="20"/>
                <w:szCs w:val="20"/>
              </w:rPr>
              <w:t xml:space="preserve">Information whose unauthorised disclosure would cause significant harm to the company or to a counterparty.</w:t>
            </w:r>
          </w:p>
        </w:tc>
        <w:tc>
          <w:tcPr>
            <w:tcW w:type="dxa" w:w="2250"/>
            <w:tcMar>
              <w:top w:type="dxa" w:w="90"/>
              <w:left w:type="dxa" w:w="130"/>
              <w:bottom w:type="dxa" w:w="90"/>
              <w:right w:type="dxa" w:w="130"/>
            </w:tcMar>
          </w:tcPr>
          <w:p>
            <w:pPr>
              <w:spacing w:after="0" w:line="260"/>
            </w:pPr>
            <w:r>
              <w:rPr>
                <w:b w:val="false"/>
                <w:bCs w:val="false"/>
                <w:sz w:val="20"/>
                <w:szCs w:val="20"/>
              </w:rPr>
              <w:t xml:space="preserve">Significant: competitive loss, contractual breach, reputational damage</w:t>
            </w:r>
          </w:p>
        </w:tc>
        <w:tc>
          <w:tcPr>
            <w:tcW w:type="dxa" w:w="2250"/>
            <w:tcMar>
              <w:top w:type="dxa" w:w="90"/>
              <w:left w:type="dxa" w:w="130"/>
              <w:bottom w:type="dxa" w:w="90"/>
              <w:right w:type="dxa" w:w="130"/>
            </w:tcMar>
          </w:tcPr>
          <w:p>
            <w:pPr>
              <w:spacing w:after="0" w:line="260"/>
            </w:pPr>
            <w:r>
              <w:rPr>
                <w:b w:val="false"/>
                <w:bCs w:val="false"/>
                <w:sz w:val="20"/>
                <w:szCs w:val="20"/>
              </w:rPr>
              <w:t xml:space="preserve">Customer contracts, unreleased financial results, source code, M&amp;A material, employee records, internal audit reports</w:t>
            </w:r>
          </w:p>
        </w:tc>
      </w:tr>
      <w:tr>
        <w:trPr>
          <w:tblHeader w:val="false"/>
        </w:trPr>
        <w:tc>
          <w:tcPr>
            <w:tcW w:type="dxa" w:w="1560"/>
            <w:tcMar>
              <w:top w:type="dxa" w:w="90"/>
              <w:left w:type="dxa" w:w="130"/>
              <w:bottom w:type="dxa" w:w="90"/>
              <w:right w:type="dxa" w:w="130"/>
            </w:tcMar>
          </w:tcPr>
          <w:p>
            <w:pPr>
              <w:spacing w:after="0" w:line="260"/>
            </w:pPr>
            <w:r>
              <w:rPr>
                <w:b w:val="false"/>
                <w:bCs w:val="false"/>
                <w:sz w:val="20"/>
                <w:szCs w:val="20"/>
              </w:rPr>
              <w:t xml:space="preserve">Internal</w:t>
            </w:r>
          </w:p>
        </w:tc>
        <w:tc>
          <w:tcPr>
            <w:tcW w:type="dxa" w:w="3300"/>
            <w:tcMar>
              <w:top w:type="dxa" w:w="90"/>
              <w:left w:type="dxa" w:w="130"/>
              <w:bottom w:type="dxa" w:w="90"/>
              <w:right w:type="dxa" w:w="130"/>
            </w:tcMar>
          </w:tcPr>
          <w:p>
            <w:pPr>
              <w:spacing w:after="0" w:line="260"/>
            </w:pPr>
            <w:r>
              <w:rPr>
                <w:b w:val="false"/>
                <w:bCs w:val="false"/>
                <w:sz w:val="20"/>
                <w:szCs w:val="20"/>
              </w:rPr>
              <w:t xml:space="preserve">Information intended for use within the company that is not for public release but whose disclosure would cause limited harm.</w:t>
            </w:r>
          </w:p>
        </w:tc>
        <w:tc>
          <w:tcPr>
            <w:tcW w:type="dxa" w:w="2250"/>
            <w:tcMar>
              <w:top w:type="dxa" w:w="90"/>
              <w:left w:type="dxa" w:w="130"/>
              <w:bottom w:type="dxa" w:w="90"/>
              <w:right w:type="dxa" w:w="130"/>
            </w:tcMar>
          </w:tcPr>
          <w:p>
            <w:pPr>
              <w:spacing w:after="0" w:line="260"/>
            </w:pPr>
            <w:r>
              <w:rPr>
                <w:b w:val="false"/>
                <w:bCs w:val="false"/>
                <w:sz w:val="20"/>
                <w:szCs w:val="20"/>
              </w:rPr>
              <w:t xml:space="preserve">Limited: minor embarrassment or inefficiency</w:t>
            </w:r>
          </w:p>
        </w:tc>
        <w:tc>
          <w:tcPr>
            <w:tcW w:type="dxa" w:w="2250"/>
            <w:tcMar>
              <w:top w:type="dxa" w:w="90"/>
              <w:left w:type="dxa" w:w="130"/>
              <w:bottom w:type="dxa" w:w="90"/>
              <w:right w:type="dxa" w:w="130"/>
            </w:tcMar>
          </w:tcPr>
          <w:p>
            <w:pPr>
              <w:spacing w:after="0" w:line="260"/>
            </w:pPr>
            <w:r>
              <w:rPr>
                <w:b w:val="false"/>
                <w:bCs w:val="false"/>
                <w:sz w:val="20"/>
                <w:szCs w:val="20"/>
              </w:rPr>
              <w:t xml:space="preserve">Policies and standards, internal announcements, project plans, org charts, meeting notes</w:t>
            </w:r>
          </w:p>
        </w:tc>
      </w:tr>
      <w:tr>
        <w:trPr>
          <w:tblHeader w:val="false"/>
        </w:trPr>
        <w:tc>
          <w:tcPr>
            <w:tcW w:type="dxa" w:w="1560"/>
            <w:tcMar>
              <w:top w:type="dxa" w:w="90"/>
              <w:left w:type="dxa" w:w="130"/>
              <w:bottom w:type="dxa" w:w="90"/>
              <w:right w:type="dxa" w:w="130"/>
            </w:tcMar>
          </w:tcPr>
          <w:p>
            <w:pPr>
              <w:spacing w:after="0" w:line="260"/>
            </w:pPr>
            <w:r>
              <w:rPr>
                <w:b w:val="false"/>
                <w:bCs w:val="false"/>
                <w:sz w:val="20"/>
                <w:szCs w:val="20"/>
              </w:rPr>
              <w:t xml:space="preserve">Public</w:t>
            </w:r>
          </w:p>
        </w:tc>
        <w:tc>
          <w:tcPr>
            <w:tcW w:type="dxa" w:w="3300"/>
            <w:tcMar>
              <w:top w:type="dxa" w:w="90"/>
              <w:left w:type="dxa" w:w="130"/>
              <w:bottom w:type="dxa" w:w="90"/>
              <w:right w:type="dxa" w:w="130"/>
            </w:tcMar>
          </w:tcPr>
          <w:p>
            <w:pPr>
              <w:spacing w:after="0" w:line="260"/>
            </w:pPr>
            <w:r>
              <w:rPr>
                <w:b w:val="false"/>
                <w:bCs w:val="false"/>
                <w:sz w:val="20"/>
                <w:szCs w:val="20"/>
              </w:rPr>
              <w:t xml:space="preserve">Information approved for release outside the company.</w:t>
            </w:r>
          </w:p>
        </w:tc>
        <w:tc>
          <w:tcPr>
            <w:tcW w:type="dxa" w:w="2250"/>
            <w:tcMar>
              <w:top w:type="dxa" w:w="90"/>
              <w:left w:type="dxa" w:w="130"/>
              <w:bottom w:type="dxa" w:w="90"/>
              <w:right w:type="dxa" w:w="130"/>
            </w:tcMar>
          </w:tcPr>
          <w:p>
            <w:pPr>
              <w:spacing w:after="0" w:line="260"/>
            </w:pPr>
            <w:r>
              <w:rPr>
                <w:b w:val="false"/>
                <w:bCs w:val="false"/>
                <w:sz w:val="20"/>
                <w:szCs w:val="20"/>
              </w:rPr>
              <w:t xml:space="preserve">None</w:t>
            </w:r>
          </w:p>
        </w:tc>
        <w:tc>
          <w:tcPr>
            <w:tcW w:type="dxa" w:w="2250"/>
            <w:tcMar>
              <w:top w:type="dxa" w:w="90"/>
              <w:left w:type="dxa" w:w="130"/>
              <w:bottom w:type="dxa" w:w="90"/>
              <w:right w:type="dxa" w:w="130"/>
            </w:tcMar>
          </w:tcPr>
          <w:p>
            <w:pPr>
              <w:spacing w:after="0" w:line="260"/>
            </w:pPr>
            <w:r>
              <w:rPr>
                <w:b w:val="false"/>
                <w:bCs w:val="false"/>
                <w:sz w:val="20"/>
                <w:szCs w:val="20"/>
              </w:rPr>
              <w:t xml:space="preserve">Marketing material, published pricing, statutory filings, job advertisements, the public security page</w:t>
            </w:r>
          </w:p>
        </w:tc>
      </w:tr>
    </w:tbl>
    <w:p>
      <w:pPr>
        <w:pStyle w:val="Heading1"/>
        <w:spacing w:after="160" w:before="320"/>
      </w:pPr>
      <w:r>
        <w:t xml:space="preserve">5. Ownership and accountability</w:t>
      </w:r>
    </w:p>
    <w:p>
      <w:pPr>
        <w:pStyle w:val="ListParagraph"/>
        <w:numPr>
          <w:ilvl w:val="0"/>
          <w:numId w:val="2"/>
        </w:numPr>
        <w:spacing w:after="80" w:line="276"/>
      </w:pPr>
      <w:r>
        <w:rPr>
          <w:sz w:val="22"/>
          <w:szCs w:val="22"/>
        </w:rPr>
        <w:t xml:space="preserve">Every information asset has a named Information Owner, being the executive accountable for the business process the information serves. The register of owners is maintained by the Information Governance function.</w:t>
      </w:r>
    </w:p>
    <w:p>
      <w:pPr>
        <w:pStyle w:val="ListParagraph"/>
        <w:numPr>
          <w:ilvl w:val="0"/>
          <w:numId w:val="2"/>
        </w:numPr>
        <w:spacing w:after="80" w:line="276"/>
      </w:pPr>
      <w:r>
        <w:rPr>
          <w:sz w:val="22"/>
          <w:szCs w:val="22"/>
        </w:rPr>
        <w:t xml:space="preserve">The Information Owner assigns the classification, approves access, approves any downgrade, and confirms retention and disposal.</w:t>
      </w:r>
    </w:p>
    <w:p>
      <w:pPr>
        <w:pStyle w:val="ListParagraph"/>
        <w:numPr>
          <w:ilvl w:val="0"/>
          <w:numId w:val="2"/>
        </w:numPr>
        <w:spacing w:after="80" w:line="276"/>
      </w:pPr>
      <w:r>
        <w:rPr>
          <w:sz w:val="22"/>
          <w:szCs w:val="22"/>
        </w:rPr>
        <w:t xml:space="preserve">Information Custodians, typically engineering and platform teams, implement the controls the classification requires.</w:t>
      </w:r>
    </w:p>
    <w:p>
      <w:pPr>
        <w:pStyle w:val="ListParagraph"/>
        <w:numPr>
          <w:ilvl w:val="0"/>
          <w:numId w:val="2"/>
        </w:numPr>
        <w:spacing w:after="80" w:line="276"/>
      </w:pPr>
      <w:r>
        <w:rPr>
          <w:sz w:val="22"/>
          <w:szCs w:val="22"/>
        </w:rPr>
        <w:t xml:space="preserve">Every worker who handles information is responsible for observing the handling rules for its classification.</w:t>
      </w:r>
    </w:p>
    <w:p>
      <w:pPr>
        <w:pStyle w:val="ListParagraph"/>
        <w:numPr>
          <w:ilvl w:val="0"/>
          <w:numId w:val="2"/>
        </w:numPr>
        <w:spacing w:after="80" w:line="276"/>
      </w:pPr>
      <w:r>
        <w:rPr>
          <w:sz w:val="22"/>
          <w:szCs w:val="22"/>
        </w:rPr>
        <w:t xml:space="preserve">Classification is reviewed when the information materially changes, when it is shared with a new party, and in any event at each annual asset review. Downgrade requires Information Owner approval and is recorded; upgrade may be applied by any worker and does not require approval.</w:t>
      </w:r>
    </w:p>
    <w:p>
      <w:pPr>
        <w:pStyle w:val="Heading1"/>
        <w:spacing w:after="160" w:before="320"/>
      </w:pPr>
      <w:r>
        <w:t xml:space="preserve">6. Labelling</w:t>
      </w:r>
    </w:p>
    <w:p>
      <w:pPr>
        <w:pStyle w:val="ListParagraph"/>
        <w:numPr>
          <w:ilvl w:val="0"/>
          <w:numId w:val="2"/>
        </w:numPr>
        <w:spacing w:after="80" w:line="276"/>
      </w:pPr>
      <w:r>
        <w:rPr>
          <w:sz w:val="22"/>
          <w:szCs w:val="22"/>
        </w:rPr>
        <w:t xml:space="preserve">Electronic documents and presentations must carry the classification in the footer of every page.</w:t>
      </w:r>
    </w:p>
    <w:p>
      <w:pPr>
        <w:pStyle w:val="ListParagraph"/>
        <w:numPr>
          <w:ilvl w:val="0"/>
          <w:numId w:val="2"/>
        </w:numPr>
        <w:spacing w:after="80" w:line="276"/>
      </w:pPr>
      <w:r>
        <w:rPr>
          <w:sz w:val="22"/>
          <w:szCs w:val="22"/>
        </w:rPr>
        <w:t xml:space="preserve">Email containing Confidential or Restricted information must carry the classification label applied through the mail client’s sensitivity labelling.</w:t>
      </w:r>
    </w:p>
    <w:p>
      <w:pPr>
        <w:pStyle w:val="ListParagraph"/>
        <w:numPr>
          <w:ilvl w:val="0"/>
          <w:numId w:val="2"/>
        </w:numPr>
        <w:spacing w:after="80" w:line="276"/>
      </w:pPr>
      <w:r>
        <w:rPr>
          <w:sz w:val="22"/>
          <w:szCs w:val="22"/>
        </w:rPr>
        <w:t xml:space="preserve">Structured data stores must record classification at the table or column level in the data catalogue.</w:t>
      </w:r>
    </w:p>
    <w:p>
      <w:pPr>
        <w:pStyle w:val="ListParagraph"/>
        <w:numPr>
          <w:ilvl w:val="0"/>
          <w:numId w:val="2"/>
        </w:numPr>
        <w:spacing w:after="80" w:line="276"/>
      </w:pPr>
      <w:r>
        <w:rPr>
          <w:sz w:val="22"/>
          <w:szCs w:val="22"/>
        </w:rPr>
        <w:t xml:space="preserve">Physical material classified Confidential or Restricted must be marked on the front cover and on each page.</w:t>
      </w:r>
    </w:p>
    <w:p>
      <w:pPr>
        <w:pStyle w:val="ListParagraph"/>
        <w:numPr>
          <w:ilvl w:val="0"/>
          <w:numId w:val="2"/>
        </w:numPr>
        <w:spacing w:after="80" w:line="276"/>
      </w:pPr>
      <w:r>
        <w:rPr>
          <w:sz w:val="22"/>
          <w:szCs w:val="22"/>
        </w:rPr>
        <w:t xml:space="preserve">Public and Internal information need not be labelled individually where the storage location carries a default classification, but the default must be documented.</w:t>
      </w:r>
    </w:p>
    <w:p>
      <w:pPr>
        <w:pStyle w:val="Heading1"/>
        <w:spacing w:after="160" w:before="320"/>
      </w:pPr>
      <w:r>
        <w:t xml:space="preserve">7. Handling requirements</w:t>
      </w:r>
    </w:p>
    <w:p>
      <w:pPr>
        <w:spacing w:after="140" w:line="276"/>
      </w:pPr>
      <w:r>
        <w:rPr>
          <w:sz w:val="22"/>
          <w:szCs w:val="22"/>
        </w:rPr>
        <w:t xml:space="preserve">The following requirements are minimums. Where a contract, regulation or payment brand rule imposes a stricter requirement, the stricter requirement applies.</w:t>
      </w:r>
    </w:p>
    <w:p>
      <w:pPr>
        <w:spacing w:after="140" w:line="276"/>
      </w:pPr>
      <w:r>
        <w:rPr>
          <w:sz w:val="22"/>
          <w:szCs w:val="22"/>
        </w:rPr>
        <w:t xml:space="preserve">This section states handling obligations. The technical parameters giving effect to them — accepted algorithms, minimum protocol versions, key lengths, rotation intervals and sanitisation methods — are set in AFT-ISMS-STD-09 Cryptographic Key Management Standard and are not restated here, so that a parameter can be revised without executive re-approval of this policy. Where a parameter appears below it is illustrative of the current standard, not the authority for it.</w:t>
      </w:r>
    </w:p>
    <w:p>
      <w:pPr>
        <w:pStyle w:val="Heading2"/>
        <w:spacing w:after="120" w:before="240"/>
      </w:pPr>
      <w:r>
        <w:t xml:space="preserve">7.1 Storage and access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560"/>
        <w:gridCol w:w="2600"/>
        <w:gridCol w:w="2600"/>
        <w:gridCol w:w="2600"/>
      </w:tblGrid>
      <w:tr>
        <w:trPr>
          <w:tblHeader/>
        </w:trPr>
        <w:tc>
          <w:tcPr>
            <w:tcW w:type="dxa" w:w="1560"/>
            <w:shd w:fill="E7EAF0" w:color="auto" w:val="clear"/>
            <w:tcMar>
              <w:top w:type="dxa" w:w="90"/>
              <w:left w:type="dxa" w:w="130"/>
              <w:bottom w:type="dxa" w:w="90"/>
              <w:right w:type="dxa" w:w="130"/>
            </w:tcMar>
          </w:tcPr>
          <w:p>
            <w:pPr>
              <w:spacing w:after="0" w:line="260"/>
            </w:pPr>
            <w:r>
              <w:rPr>
                <w:b/>
                <w:bCs/>
                <w:sz w:val="20"/>
                <w:szCs w:val="20"/>
              </w:rPr>
              <w:t xml:space="preserve">Level</w:t>
            </w:r>
          </w:p>
        </w:tc>
        <w:tc>
          <w:tcPr>
            <w:tcW w:type="dxa" w:w="2600"/>
            <w:shd w:fill="E7EAF0" w:color="auto" w:val="clear"/>
            <w:tcMar>
              <w:top w:type="dxa" w:w="90"/>
              <w:left w:type="dxa" w:w="130"/>
              <w:bottom w:type="dxa" w:w="90"/>
              <w:right w:type="dxa" w:w="130"/>
            </w:tcMar>
          </w:tcPr>
          <w:p>
            <w:pPr>
              <w:spacing w:after="0" w:line="260"/>
            </w:pPr>
            <w:r>
              <w:rPr>
                <w:b/>
                <w:bCs/>
                <w:sz w:val="20"/>
                <w:szCs w:val="20"/>
              </w:rPr>
              <w:t xml:space="preserve">Approved storage</w:t>
            </w:r>
          </w:p>
        </w:tc>
        <w:tc>
          <w:tcPr>
            <w:tcW w:type="dxa" w:w="2600"/>
            <w:shd w:fill="E7EAF0" w:color="auto" w:val="clear"/>
            <w:tcMar>
              <w:top w:type="dxa" w:w="90"/>
              <w:left w:type="dxa" w:w="130"/>
              <w:bottom w:type="dxa" w:w="90"/>
              <w:right w:type="dxa" w:w="130"/>
            </w:tcMar>
          </w:tcPr>
          <w:p>
            <w:pPr>
              <w:spacing w:after="0" w:line="260"/>
            </w:pPr>
            <w:r>
              <w:rPr>
                <w:b/>
                <w:bCs/>
                <w:sz w:val="20"/>
                <w:szCs w:val="20"/>
              </w:rPr>
              <w:t xml:space="preserve">Access control</w:t>
            </w:r>
          </w:p>
        </w:tc>
        <w:tc>
          <w:tcPr>
            <w:tcW w:type="dxa" w:w="2600"/>
            <w:shd w:fill="E7EAF0" w:color="auto" w:val="clear"/>
            <w:tcMar>
              <w:top w:type="dxa" w:w="90"/>
              <w:left w:type="dxa" w:w="130"/>
              <w:bottom w:type="dxa" w:w="90"/>
              <w:right w:type="dxa" w:w="130"/>
            </w:tcMar>
          </w:tcPr>
          <w:p>
            <w:pPr>
              <w:spacing w:after="0" w:line="260"/>
            </w:pPr>
            <w:r>
              <w:rPr>
                <w:b/>
                <w:bCs/>
                <w:sz w:val="20"/>
                <w:szCs w:val="20"/>
              </w:rPr>
              <w:t xml:space="preserve">Encryption</w:t>
            </w:r>
          </w:p>
        </w:tc>
      </w:tr>
      <w:tr>
        <w:trPr>
          <w:tblHeader w:val="false"/>
        </w:trPr>
        <w:tc>
          <w:tcPr>
            <w:tcW w:type="dxa" w:w="1560"/>
            <w:tcMar>
              <w:top w:type="dxa" w:w="90"/>
              <w:left w:type="dxa" w:w="130"/>
              <w:bottom w:type="dxa" w:w="90"/>
              <w:right w:type="dxa" w:w="130"/>
            </w:tcMar>
          </w:tcPr>
          <w:p>
            <w:pPr>
              <w:spacing w:after="0" w:line="260"/>
            </w:pPr>
            <w:r>
              <w:rPr>
                <w:b w:val="false"/>
                <w:bCs w:val="false"/>
                <w:sz w:val="20"/>
                <w:szCs w:val="20"/>
              </w:rPr>
              <w:t xml:space="preserve">Restricted</w:t>
            </w:r>
          </w:p>
        </w:tc>
        <w:tc>
          <w:tcPr>
            <w:tcW w:type="dxa" w:w="2600"/>
            <w:tcMar>
              <w:top w:type="dxa" w:w="90"/>
              <w:left w:type="dxa" w:w="130"/>
              <w:bottom w:type="dxa" w:w="90"/>
              <w:right w:type="dxa" w:w="130"/>
            </w:tcMar>
          </w:tcPr>
          <w:p>
            <w:pPr>
              <w:spacing w:after="0" w:line="260"/>
            </w:pPr>
            <w:r>
              <w:rPr>
                <w:b w:val="false"/>
                <w:bCs w:val="false"/>
                <w:sz w:val="20"/>
                <w:szCs w:val="20"/>
              </w:rPr>
              <w:t xml:space="preserve">Designated systems within the cardholder data environment or the secure data zone only. No local storage on endpoints.</w:t>
            </w:r>
          </w:p>
        </w:tc>
        <w:tc>
          <w:tcPr>
            <w:tcW w:type="dxa" w:w="2600"/>
            <w:tcMar>
              <w:top w:type="dxa" w:w="90"/>
              <w:left w:type="dxa" w:w="130"/>
              <w:bottom w:type="dxa" w:w="90"/>
              <w:right w:type="dxa" w:w="130"/>
            </w:tcMar>
          </w:tcPr>
          <w:p>
            <w:pPr>
              <w:spacing w:after="0" w:line="260"/>
            </w:pPr>
            <w:r>
              <w:rPr>
                <w:b w:val="false"/>
                <w:bCs w:val="false"/>
                <w:sz w:val="20"/>
                <w:szCs w:val="20"/>
              </w:rPr>
              <w:t xml:space="preserve">Explicit named grant, approved by Information Owner and CISO; monthly recertification</w:t>
            </w:r>
          </w:p>
        </w:tc>
        <w:tc>
          <w:tcPr>
            <w:tcW w:type="dxa" w:w="2600"/>
            <w:tcMar>
              <w:top w:type="dxa" w:w="90"/>
              <w:left w:type="dxa" w:w="130"/>
              <w:bottom w:type="dxa" w:w="90"/>
              <w:right w:type="dxa" w:w="130"/>
            </w:tcMar>
          </w:tcPr>
          <w:p>
            <w:pPr>
              <w:spacing w:after="0" w:line="260"/>
            </w:pPr>
            <w:r>
              <w:rPr>
                <w:b w:val="false"/>
                <w:bCs w:val="false"/>
                <w:sz w:val="20"/>
                <w:szCs w:val="20"/>
              </w:rPr>
              <w:t xml:space="preserve">At rest with customer-managed keys; in transit TLS 1.2 or above; tokenisation or field-level encryption for cardholder data</w:t>
            </w:r>
          </w:p>
        </w:tc>
      </w:tr>
      <w:tr>
        <w:trPr>
          <w:tblHeader w:val="false"/>
        </w:trPr>
        <w:tc>
          <w:tcPr>
            <w:tcW w:type="dxa" w:w="1560"/>
            <w:tcMar>
              <w:top w:type="dxa" w:w="90"/>
              <w:left w:type="dxa" w:w="130"/>
              <w:bottom w:type="dxa" w:w="90"/>
              <w:right w:type="dxa" w:w="130"/>
            </w:tcMar>
          </w:tcPr>
          <w:p>
            <w:pPr>
              <w:spacing w:after="0" w:line="260"/>
            </w:pPr>
            <w:r>
              <w:rPr>
                <w:b w:val="false"/>
                <w:bCs w:val="false"/>
                <w:sz w:val="20"/>
                <w:szCs w:val="20"/>
              </w:rPr>
              <w:t xml:space="preserve">Confidential</w:t>
            </w:r>
          </w:p>
        </w:tc>
        <w:tc>
          <w:tcPr>
            <w:tcW w:type="dxa" w:w="2600"/>
            <w:tcMar>
              <w:top w:type="dxa" w:w="90"/>
              <w:left w:type="dxa" w:w="130"/>
              <w:bottom w:type="dxa" w:w="90"/>
              <w:right w:type="dxa" w:w="130"/>
            </w:tcMar>
          </w:tcPr>
          <w:p>
            <w:pPr>
              <w:spacing w:after="0" w:line="260"/>
            </w:pPr>
            <w:r>
              <w:rPr>
                <w:b w:val="false"/>
                <w:bCs w:val="false"/>
                <w:sz w:val="20"/>
                <w:szCs w:val="20"/>
              </w:rPr>
              <w:t xml:space="preserve">Corporate cloud storage, approved SaaS, managed repositories</w:t>
            </w:r>
          </w:p>
        </w:tc>
        <w:tc>
          <w:tcPr>
            <w:tcW w:type="dxa" w:w="2600"/>
            <w:tcMar>
              <w:top w:type="dxa" w:w="90"/>
              <w:left w:type="dxa" w:w="130"/>
              <w:bottom w:type="dxa" w:w="90"/>
              <w:right w:type="dxa" w:w="130"/>
            </w:tcMar>
          </w:tcPr>
          <w:p>
            <w:pPr>
              <w:spacing w:after="0" w:line="260"/>
            </w:pPr>
            <w:r>
              <w:rPr>
                <w:b w:val="false"/>
                <w:bCs w:val="false"/>
                <w:sz w:val="20"/>
                <w:szCs w:val="20"/>
              </w:rPr>
              <w:t xml:space="preserve">Role-based, least privilege, quarterly recertification</w:t>
            </w:r>
          </w:p>
        </w:tc>
        <w:tc>
          <w:tcPr>
            <w:tcW w:type="dxa" w:w="2600"/>
            <w:tcMar>
              <w:top w:type="dxa" w:w="90"/>
              <w:left w:type="dxa" w:w="130"/>
              <w:bottom w:type="dxa" w:w="90"/>
              <w:right w:type="dxa" w:w="130"/>
            </w:tcMar>
          </w:tcPr>
          <w:p>
            <w:pPr>
              <w:spacing w:after="0" w:line="260"/>
            </w:pPr>
            <w:r>
              <w:rPr>
                <w:b w:val="false"/>
                <w:bCs w:val="false"/>
                <w:sz w:val="20"/>
                <w:szCs w:val="20"/>
              </w:rPr>
              <w:t xml:space="preserve">At rest with platform-managed keys; in transit TLS 1.2 or above</w:t>
            </w:r>
          </w:p>
        </w:tc>
      </w:tr>
      <w:tr>
        <w:trPr>
          <w:tblHeader w:val="false"/>
        </w:trPr>
        <w:tc>
          <w:tcPr>
            <w:tcW w:type="dxa" w:w="1560"/>
            <w:tcMar>
              <w:top w:type="dxa" w:w="90"/>
              <w:left w:type="dxa" w:w="130"/>
              <w:bottom w:type="dxa" w:w="90"/>
              <w:right w:type="dxa" w:w="130"/>
            </w:tcMar>
          </w:tcPr>
          <w:p>
            <w:pPr>
              <w:spacing w:after="0" w:line="260"/>
            </w:pPr>
            <w:r>
              <w:rPr>
                <w:b w:val="false"/>
                <w:bCs w:val="false"/>
                <w:sz w:val="20"/>
                <w:szCs w:val="20"/>
              </w:rPr>
              <w:t xml:space="preserve">Internal</w:t>
            </w:r>
          </w:p>
        </w:tc>
        <w:tc>
          <w:tcPr>
            <w:tcW w:type="dxa" w:w="2600"/>
            <w:tcMar>
              <w:top w:type="dxa" w:w="90"/>
              <w:left w:type="dxa" w:w="130"/>
              <w:bottom w:type="dxa" w:w="90"/>
              <w:right w:type="dxa" w:w="130"/>
            </w:tcMar>
          </w:tcPr>
          <w:p>
            <w:pPr>
              <w:spacing w:after="0" w:line="260"/>
            </w:pPr>
            <w:r>
              <w:rPr>
                <w:b w:val="false"/>
                <w:bCs w:val="false"/>
                <w:sz w:val="20"/>
                <w:szCs w:val="20"/>
              </w:rPr>
              <w:t xml:space="preserve">Corporate cloud storage and collaboration platforms</w:t>
            </w:r>
          </w:p>
        </w:tc>
        <w:tc>
          <w:tcPr>
            <w:tcW w:type="dxa" w:w="2600"/>
            <w:tcMar>
              <w:top w:type="dxa" w:w="90"/>
              <w:left w:type="dxa" w:w="130"/>
              <w:bottom w:type="dxa" w:w="90"/>
              <w:right w:type="dxa" w:w="130"/>
            </w:tcMar>
          </w:tcPr>
          <w:p>
            <w:pPr>
              <w:spacing w:after="0" w:line="260"/>
            </w:pPr>
            <w:r>
              <w:rPr>
                <w:b w:val="false"/>
                <w:bCs w:val="false"/>
                <w:sz w:val="20"/>
                <w:szCs w:val="20"/>
              </w:rPr>
              <w:t xml:space="preserve">All workers, or by team where appropriate</w:t>
            </w:r>
          </w:p>
        </w:tc>
        <w:tc>
          <w:tcPr>
            <w:tcW w:type="dxa" w:w="2600"/>
            <w:tcMar>
              <w:top w:type="dxa" w:w="90"/>
              <w:left w:type="dxa" w:w="130"/>
              <w:bottom w:type="dxa" w:w="90"/>
              <w:right w:type="dxa" w:w="130"/>
            </w:tcMar>
          </w:tcPr>
          <w:p>
            <w:pPr>
              <w:spacing w:after="0" w:line="260"/>
            </w:pPr>
            <w:r>
              <w:rPr>
                <w:b w:val="false"/>
                <w:bCs w:val="false"/>
                <w:sz w:val="20"/>
                <w:szCs w:val="20"/>
              </w:rPr>
              <w:t xml:space="preserve">At rest by platform default; in transit TLS</w:t>
            </w:r>
          </w:p>
        </w:tc>
      </w:tr>
      <w:tr>
        <w:trPr>
          <w:tblHeader w:val="false"/>
        </w:trPr>
        <w:tc>
          <w:tcPr>
            <w:tcW w:type="dxa" w:w="1560"/>
            <w:tcMar>
              <w:top w:type="dxa" w:w="90"/>
              <w:left w:type="dxa" w:w="130"/>
              <w:bottom w:type="dxa" w:w="90"/>
              <w:right w:type="dxa" w:w="130"/>
            </w:tcMar>
          </w:tcPr>
          <w:p>
            <w:pPr>
              <w:spacing w:after="0" w:line="260"/>
            </w:pPr>
            <w:r>
              <w:rPr>
                <w:b w:val="false"/>
                <w:bCs w:val="false"/>
                <w:sz w:val="20"/>
                <w:szCs w:val="20"/>
              </w:rPr>
              <w:t xml:space="preserve">Public</w:t>
            </w:r>
          </w:p>
        </w:tc>
        <w:tc>
          <w:tcPr>
            <w:tcW w:type="dxa" w:w="2600"/>
            <w:tcMar>
              <w:top w:type="dxa" w:w="90"/>
              <w:left w:type="dxa" w:w="130"/>
              <w:bottom w:type="dxa" w:w="90"/>
              <w:right w:type="dxa" w:w="130"/>
            </w:tcMar>
          </w:tcPr>
          <w:p>
            <w:pPr>
              <w:spacing w:after="0" w:line="260"/>
            </w:pPr>
            <w:r>
              <w:rPr>
                <w:b w:val="false"/>
                <w:bCs w:val="false"/>
                <w:sz w:val="20"/>
                <w:szCs w:val="20"/>
              </w:rPr>
              <w:t xml:space="preserve">Any approved location, including public websites</w:t>
            </w:r>
          </w:p>
        </w:tc>
        <w:tc>
          <w:tcPr>
            <w:tcW w:type="dxa" w:w="2600"/>
            <w:tcMar>
              <w:top w:type="dxa" w:w="90"/>
              <w:left w:type="dxa" w:w="130"/>
              <w:bottom w:type="dxa" w:w="90"/>
              <w:right w:type="dxa" w:w="130"/>
            </w:tcMar>
          </w:tcPr>
          <w:p>
            <w:pPr>
              <w:spacing w:after="0" w:line="260"/>
            </w:pPr>
            <w:r>
              <w:rPr>
                <w:b w:val="false"/>
                <w:bCs w:val="false"/>
                <w:sz w:val="20"/>
                <w:szCs w:val="20"/>
              </w:rPr>
              <w:t xml:space="preserve">No restriction; release approved by Corporate Communications</w:t>
            </w:r>
          </w:p>
        </w:tc>
        <w:tc>
          <w:tcPr>
            <w:tcW w:type="dxa" w:w="2600"/>
            <w:tcMar>
              <w:top w:type="dxa" w:w="90"/>
              <w:left w:type="dxa" w:w="130"/>
              <w:bottom w:type="dxa" w:w="90"/>
              <w:right w:type="dxa" w:w="130"/>
            </w:tcMar>
          </w:tcPr>
          <w:p>
            <w:pPr>
              <w:spacing w:after="0" w:line="260"/>
            </w:pPr>
            <w:r>
              <w:rPr>
                <w:b w:val="false"/>
                <w:bCs w:val="false"/>
                <w:sz w:val="20"/>
                <w:szCs w:val="20"/>
              </w:rPr>
              <w:t xml:space="preserve">In transit TLS for integrity</w:t>
            </w:r>
          </w:p>
        </w:tc>
      </w:tr>
    </w:tbl>
    <w:p>
      <w:pPr>
        <w:pStyle w:val="Heading2"/>
        <w:spacing w:after="120" w:before="240"/>
      </w:pPr>
      <w:r>
        <w:t xml:space="preserve">7.2 Transmission and sharing</w:t>
      </w:r>
    </w:p>
    <w:p>
      <w:pPr>
        <w:pStyle w:val="ListParagraph"/>
        <w:numPr>
          <w:ilvl w:val="0"/>
          <w:numId w:val="2"/>
        </w:numPr>
        <w:spacing w:after="80" w:line="276"/>
      </w:pPr>
      <w:r>
        <w:rPr>
          <w:sz w:val="22"/>
          <w:szCs w:val="22"/>
        </w:rPr>
        <w:t xml:space="preserve">Restricted information must not be sent by email. It is shared only through the approved secure transfer platform or a system-to-system integration with mutual authentication.</w:t>
      </w:r>
    </w:p>
    <w:p>
      <w:pPr>
        <w:pStyle w:val="ListParagraph"/>
        <w:numPr>
          <w:ilvl w:val="0"/>
          <w:numId w:val="2"/>
        </w:numPr>
        <w:spacing w:after="80" w:line="276"/>
      </w:pPr>
      <w:r>
        <w:rPr>
          <w:sz w:val="22"/>
          <w:szCs w:val="22"/>
        </w:rPr>
        <w:t xml:space="preserve">Confidential information may be sent by email to a verified recipient with encryption in transit enforced, or shared by managed link with named recipients and an expiry date. Open or organisation-wide links are prohibited for Confidential and Restricted information.</w:t>
      </w:r>
    </w:p>
    <w:p>
      <w:pPr>
        <w:pStyle w:val="ListParagraph"/>
        <w:numPr>
          <w:ilvl w:val="0"/>
          <w:numId w:val="2"/>
        </w:numPr>
        <w:spacing w:after="80" w:line="276"/>
      </w:pPr>
      <w:r>
        <w:rPr>
          <w:sz w:val="22"/>
          <w:szCs w:val="22"/>
        </w:rPr>
        <w:t xml:space="preserve">Sharing Confidential or Restricted information with any external party requires an executed non-disclosure agreement or an equivalent contractual provision, and for suppliers a completed assessment under the Third-Party Risk Management Policy.</w:t>
      </w:r>
    </w:p>
    <w:p>
      <w:pPr>
        <w:pStyle w:val="ListParagraph"/>
        <w:numPr>
          <w:ilvl w:val="0"/>
          <w:numId w:val="2"/>
        </w:numPr>
        <w:spacing w:after="80" w:line="276"/>
      </w:pPr>
      <w:r>
        <w:rPr>
          <w:sz w:val="22"/>
          <w:szCs w:val="22"/>
        </w:rPr>
        <w:t xml:space="preserve">Verbal disclosure of Confidential or Restricted information must take place only where it cannot be overheard, and never on speakerphone in a shared space.</w:t>
      </w:r>
    </w:p>
    <w:p>
      <w:pPr>
        <w:pStyle w:val="ListParagraph"/>
        <w:numPr>
          <w:ilvl w:val="0"/>
          <w:numId w:val="2"/>
        </w:numPr>
        <w:spacing w:after="80" w:line="276"/>
      </w:pPr>
      <w:r>
        <w:rPr>
          <w:sz w:val="22"/>
          <w:szCs w:val="22"/>
        </w:rPr>
        <w:t xml:space="preserve">Cross-border transfer of personal data must have a documented lawful transfer mechanism approved by the Data Protection Officer before the transfer begins.</w:t>
      </w:r>
    </w:p>
    <w:p>
      <w:pPr>
        <w:pStyle w:val="Heading2"/>
        <w:spacing w:after="120" w:before="240"/>
      </w:pPr>
      <w:r>
        <w:t xml:space="preserve">7.3 Use in non-production environments</w:t>
      </w:r>
    </w:p>
    <w:p>
      <w:pPr>
        <w:pStyle w:val="ListParagraph"/>
        <w:numPr>
          <w:ilvl w:val="0"/>
          <w:numId w:val="2"/>
        </w:numPr>
        <w:spacing w:after="80" w:line="276"/>
      </w:pPr>
      <w:r>
        <w:rPr>
          <w:sz w:val="22"/>
          <w:szCs w:val="22"/>
        </w:rPr>
        <w:t xml:space="preserve">Restricted and Confidential production data must not be copied into development, test or training environments in identifiable form.</w:t>
      </w:r>
    </w:p>
    <w:p>
      <w:pPr>
        <w:pStyle w:val="ListParagraph"/>
        <w:numPr>
          <w:ilvl w:val="0"/>
          <w:numId w:val="2"/>
        </w:numPr>
        <w:spacing w:after="80" w:line="276"/>
      </w:pPr>
      <w:r>
        <w:rPr>
          <w:sz w:val="22"/>
          <w:szCs w:val="22"/>
        </w:rPr>
        <w:t xml:space="preserve">Non-production environments must use synthetic data, or production data that has been irreversibly masked or tokenised by the approved pipeline.</w:t>
      </w:r>
    </w:p>
    <w:p>
      <w:pPr>
        <w:pStyle w:val="ListParagraph"/>
        <w:numPr>
          <w:ilvl w:val="0"/>
          <w:numId w:val="2"/>
        </w:numPr>
        <w:spacing w:after="80" w:line="276"/>
      </w:pPr>
      <w:r>
        <w:rPr>
          <w:sz w:val="22"/>
          <w:szCs w:val="22"/>
        </w:rPr>
        <w:t xml:space="preserve">Any exception requires CISO approval and results in the non-production environment being controlled to the standard of the source environment for the duration.</w:t>
      </w:r>
    </w:p>
    <w:p>
      <w:pPr>
        <w:pStyle w:val="Heading2"/>
        <w:spacing w:after="120" w:before="240"/>
      </w:pPr>
      <w:r>
        <w:t xml:space="preserve">7.4 Printing, physical handling and clear desk</w:t>
      </w:r>
    </w:p>
    <w:p>
      <w:pPr>
        <w:pStyle w:val="ListParagraph"/>
        <w:numPr>
          <w:ilvl w:val="0"/>
          <w:numId w:val="2"/>
        </w:numPr>
        <w:spacing w:after="80" w:line="276"/>
      </w:pPr>
      <w:r>
        <w:rPr>
          <w:sz w:val="22"/>
          <w:szCs w:val="22"/>
        </w:rPr>
        <w:t xml:space="preserve">Restricted information must not be printed. Confidential information may be printed only where there is a business need and must be collected immediately using secure print release.</w:t>
      </w:r>
    </w:p>
    <w:p>
      <w:pPr>
        <w:pStyle w:val="ListParagraph"/>
        <w:numPr>
          <w:ilvl w:val="0"/>
          <w:numId w:val="2"/>
        </w:numPr>
        <w:spacing w:after="80" w:line="276"/>
      </w:pPr>
      <w:r>
        <w:rPr>
          <w:sz w:val="22"/>
          <w:szCs w:val="22"/>
        </w:rPr>
        <w:t xml:space="preserve">Physical material classified Confidential or Restricted must be locked away when not in use and must not be left on desks, printers or in meeting rooms.</w:t>
      </w:r>
    </w:p>
    <w:p>
      <w:pPr>
        <w:pStyle w:val="ListParagraph"/>
        <w:numPr>
          <w:ilvl w:val="0"/>
          <w:numId w:val="2"/>
        </w:numPr>
        <w:spacing w:after="80" w:line="276"/>
      </w:pPr>
      <w:r>
        <w:rPr>
          <w:sz w:val="22"/>
          <w:szCs w:val="22"/>
        </w:rPr>
        <w:t xml:space="preserve">Confidential and Restricted material must not be removed from company premises without Information Owner approval, and must be transported in a sealed, non-descript container.</w:t>
      </w:r>
    </w:p>
    <w:p>
      <w:pPr>
        <w:pStyle w:val="Heading1"/>
        <w:spacing w:after="160" w:before="320"/>
      </w:pPr>
      <w:r>
        <w:t xml:space="preserve">8. Retention and disposal</w:t>
      </w:r>
    </w:p>
    <w:p>
      <w:pPr>
        <w:pStyle w:val="ListParagraph"/>
        <w:numPr>
          <w:ilvl w:val="0"/>
          <w:numId w:val="2"/>
        </w:numPr>
        <w:spacing w:after="80" w:line="276"/>
      </w:pPr>
      <w:r>
        <w:rPr>
          <w:sz w:val="22"/>
          <w:szCs w:val="22"/>
        </w:rPr>
        <w:t xml:space="preserve">Information is retained for the period set out in the Records Retention Schedule and no longer. Retention periods reflect statutory, regulatory, tax and contractual requirements and, for personal data, the storage limitation principle.</w:t>
      </w:r>
    </w:p>
    <w:p>
      <w:pPr>
        <w:pStyle w:val="ListParagraph"/>
        <w:numPr>
          <w:ilvl w:val="0"/>
          <w:numId w:val="2"/>
        </w:numPr>
        <w:spacing w:after="80" w:line="276"/>
      </w:pPr>
      <w:r>
        <w:rPr>
          <w:sz w:val="22"/>
          <w:szCs w:val="22"/>
        </w:rPr>
        <w:t xml:space="preserve">Personal data must be deleted or anonymised once the purpose for which it was collected has been fulfilled and no retention obligation subsists.</w:t>
      </w:r>
    </w:p>
    <w:p>
      <w:pPr>
        <w:pStyle w:val="ListParagraph"/>
        <w:numPr>
          <w:ilvl w:val="0"/>
          <w:numId w:val="2"/>
        </w:numPr>
        <w:spacing w:after="80" w:line="276"/>
      </w:pPr>
      <w:r>
        <w:rPr>
          <w:sz w:val="22"/>
          <w:szCs w:val="22"/>
        </w:rPr>
        <w:t xml:space="preserve">Electronic disposal of Confidential and Restricted information must be by cryptographic erasure or by a method meeting the media sanitisation standard; deletion from a user interface alone is not disposal.</w:t>
      </w:r>
    </w:p>
    <w:p>
      <w:pPr>
        <w:pStyle w:val="ListParagraph"/>
        <w:numPr>
          <w:ilvl w:val="0"/>
          <w:numId w:val="2"/>
        </w:numPr>
        <w:spacing w:after="80" w:line="276"/>
      </w:pPr>
      <w:r>
        <w:rPr>
          <w:sz w:val="22"/>
          <w:szCs w:val="22"/>
        </w:rPr>
        <w:t xml:space="preserve">Physical disposal of Confidential and Restricted material must be by cross-cut shredding or through the approved confidential waste contractor, with certificates of destruction retained.</w:t>
      </w:r>
    </w:p>
    <w:p>
      <w:pPr>
        <w:pStyle w:val="ListParagraph"/>
        <w:numPr>
          <w:ilvl w:val="0"/>
          <w:numId w:val="2"/>
        </w:numPr>
        <w:spacing w:after="80" w:line="276"/>
      </w:pPr>
      <w:r>
        <w:rPr>
          <w:sz w:val="22"/>
          <w:szCs w:val="22"/>
        </w:rPr>
        <w:t xml:space="preserve">Disposal of media and assets is recorded in the asset register with the method and date.</w:t>
      </w:r>
    </w:p>
    <w:p>
      <w:pPr>
        <w:pStyle w:val="ListParagraph"/>
        <w:numPr>
          <w:ilvl w:val="0"/>
          <w:numId w:val="2"/>
        </w:numPr>
        <w:spacing w:after="80" w:line="276"/>
      </w:pPr>
      <w:r>
        <w:rPr>
          <w:sz w:val="22"/>
          <w:szCs w:val="22"/>
        </w:rPr>
        <w:t xml:space="preserve">Where a legal hold is in force, disposal is suspended for the affected information until the hold is lifted by the General Counsel. A legal hold overrides any retention schedule.</w:t>
      </w:r>
    </w:p>
    <w:p>
      <w:pPr>
        <w:pStyle w:val="Heading2"/>
        <w:spacing w:after="120" w:before="240"/>
      </w:pPr>
      <w:r>
        <w:t xml:space="preserve">8.1 Resolving the conflict between retention floors and erasure rights</w:t>
      </w:r>
    </w:p>
    <w:p>
      <w:pPr>
        <w:spacing w:after="140" w:line="276"/>
      </w:pPr>
      <w:r>
        <w:rPr>
          <w:sz w:val="22"/>
          <w:szCs w:val="22"/>
        </w:rPr>
        <w:t xml:space="preserve">Two obligations in this policy pull against each other and a worker cannot be left to resolve the tension themselves.</w:t>
      </w:r>
    </w:p>
    <w:p>
      <w:pPr>
        <w:spacing w:after="140" w:line="276"/>
      </w:pPr>
      <w:r>
        <w:rPr>
          <w:sz w:val="22"/>
          <w:szCs w:val="22"/>
        </w:rPr>
        <w:t xml:space="preserve">Financial crime and record-keeping law sets minimum retention periods for defined categories of record. Data protection law requires that personal data not be kept longer than necessary and gives individuals a right to erasure. These are not reconcilable by judgement in the moment, and the wrong answer in either direction carries regulatory consequence.</w:t>
      </w:r>
    </w:p>
    <w:p>
      <w:pPr>
        <w:pStyle w:val="ListParagraph"/>
        <w:numPr>
          <w:ilvl w:val="0"/>
          <w:numId w:val="2"/>
        </w:numPr>
        <w:spacing w:after="80" w:line="276"/>
      </w:pPr>
      <w:r>
        <w:rPr>
          <w:sz w:val="22"/>
          <w:szCs w:val="22"/>
        </w:rPr>
        <w:t xml:space="preserve">Where a statutory retention obligation applies, it prevails and the record is retained for the full period. An erasure request does not override a legal retention duty, and the requester is told that the data is retained on that basis without being told anything that would tip them off if a suspicion exists.</w:t>
      </w:r>
    </w:p>
    <w:p>
      <w:pPr>
        <w:pStyle w:val="ListParagraph"/>
        <w:numPr>
          <w:ilvl w:val="0"/>
          <w:numId w:val="2"/>
        </w:numPr>
        <w:spacing w:after="80" w:line="276"/>
      </w:pPr>
      <w:r>
        <w:rPr>
          <w:sz w:val="22"/>
          <w:szCs w:val="22"/>
        </w:rPr>
        <w:t xml:space="preserve">Retention beyond the statutory floor requires a documented purpose. Once both the statutory period and the business purpose have expired, deletion is mandatory and is not a matter of preference.</w:t>
      </w:r>
    </w:p>
    <w:p>
      <w:pPr>
        <w:pStyle w:val="ListParagraph"/>
        <w:numPr>
          <w:ilvl w:val="0"/>
          <w:numId w:val="2"/>
        </w:numPr>
        <w:spacing w:after="80" w:line="276"/>
      </w:pPr>
      <w:r>
        <w:rPr>
          <w:sz w:val="22"/>
          <w:szCs w:val="22"/>
        </w:rPr>
        <w:t xml:space="preserve">Where the applicable periods differ between the two jurisdictions, the longer period applies to the record, and the reason is recorded so that it can be explained.</w:t>
      </w:r>
    </w:p>
    <w:p>
      <w:pPr>
        <w:pStyle w:val="ListParagraph"/>
        <w:numPr>
          <w:ilvl w:val="0"/>
          <w:numId w:val="2"/>
        </w:numPr>
        <w:spacing w:after="80" w:line="276"/>
      </w:pPr>
      <w:r>
        <w:rPr>
          <w:sz w:val="22"/>
          <w:szCs w:val="22"/>
        </w:rPr>
        <w:t xml:space="preserve">Any case where the position is unclear is referred to the Data Protection Officer and the General Counsel jointly before action is taken. A worker must not delete a record to satisfy an erasure request without that confirmation.</w:t>
      </w:r>
    </w:p>
    <w:p>
      <w:pPr>
        <w:spacing w:after="140" w:line="276"/>
      </w:pPr>
      <w:r>
        <w:rPr>
          <w:sz w:val="22"/>
          <w:szCs w:val="22"/>
        </w:rPr>
        <w:t xml:space="preserve">The retention overage identified in the analytics warehouse in September 2026 is not an instance of this conflict. That data was held beyond both the statutory period and any business purpose, and its deletion is required rather than contested.</w:t>
      </w:r>
    </w:p>
    <w:p>
      <w:pPr>
        <w:pStyle w:val="Heading2"/>
        <w:spacing w:after="120" w:before="240"/>
      </w:pPr>
      <w:r>
        <w:t xml:space="preserve">8.2 Jurisdictional differences in disposal and rights handling</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3600"/>
        <w:gridCol w:w="3560"/>
      </w:tblGrid>
      <w:tr>
        <w:trPr>
          <w:tblHeader/>
        </w:trPr>
        <w:tc>
          <w:tcPr>
            <w:tcW w:type="dxa" w:w="2200"/>
            <w:shd w:fill="E7EAF0" w:color="auto" w:val="clear"/>
            <w:tcMar>
              <w:top w:type="dxa" w:w="90"/>
              <w:left w:type="dxa" w:w="130"/>
              <w:bottom w:type="dxa" w:w="90"/>
              <w:right w:type="dxa" w:w="130"/>
            </w:tcMar>
          </w:tcPr>
          <w:p>
            <w:pPr>
              <w:spacing w:after="0" w:line="260"/>
            </w:pPr>
            <w:r>
              <w:rPr>
                <w:b/>
                <w:bCs/>
                <w:sz w:val="20"/>
                <w:szCs w:val="20"/>
              </w:rPr>
              <w:t xml:space="preserve"/>
            </w:r>
          </w:p>
        </w:tc>
        <w:tc>
          <w:tcPr>
            <w:tcW w:type="dxa" w:w="3600"/>
            <w:shd w:fill="E7EAF0" w:color="auto" w:val="clear"/>
            <w:tcMar>
              <w:top w:type="dxa" w:w="90"/>
              <w:left w:type="dxa" w:w="130"/>
              <w:bottom w:type="dxa" w:w="90"/>
              <w:right w:type="dxa" w:w="130"/>
            </w:tcMar>
          </w:tcPr>
          <w:p>
            <w:pPr>
              <w:spacing w:after="0" w:line="260"/>
            </w:pPr>
            <w:r>
              <w:rPr>
                <w:b/>
                <w:bCs/>
                <w:sz w:val="20"/>
                <w:szCs w:val="20"/>
              </w:rPr>
              <w:t xml:space="preserve">United Kingdom entity</w:t>
            </w:r>
          </w:p>
        </w:tc>
        <w:tc>
          <w:tcPr>
            <w:tcW w:type="dxa" w:w="3560"/>
            <w:shd w:fill="E7EAF0" w:color="auto" w:val="clear"/>
            <w:tcMar>
              <w:top w:type="dxa" w:w="90"/>
              <w:left w:type="dxa" w:w="130"/>
              <w:bottom w:type="dxa" w:w="90"/>
              <w:right w:type="dxa" w:w="130"/>
            </w:tcMar>
          </w:tcPr>
          <w:p>
            <w:pPr>
              <w:spacing w:after="0" w:line="260"/>
            </w:pPr>
            <w:r>
              <w:rPr>
                <w:b/>
                <w:bCs/>
                <w:sz w:val="20"/>
                <w:szCs w:val="20"/>
              </w:rPr>
              <w:t xml:space="preserve">United States entity</w:t>
            </w:r>
          </w:p>
        </w:tc>
      </w:tr>
      <w:tr>
        <w:trPr>
          <w:tblHeader w:val="false"/>
        </w:trPr>
        <w:tc>
          <w:tcPr>
            <w:tcW w:type="dxa" w:w="2200"/>
            <w:tcMar>
              <w:top w:type="dxa" w:w="90"/>
              <w:left w:type="dxa" w:w="130"/>
              <w:bottom w:type="dxa" w:w="90"/>
              <w:right w:type="dxa" w:w="130"/>
            </w:tcMar>
          </w:tcPr>
          <w:p>
            <w:pPr>
              <w:spacing w:after="0" w:line="260"/>
            </w:pPr>
            <w:r>
              <w:rPr>
                <w:b w:val="false"/>
                <w:bCs w:val="false"/>
                <w:sz w:val="20"/>
                <w:szCs w:val="20"/>
              </w:rPr>
              <w:t xml:space="preserve">Erasure right</w:t>
            </w:r>
          </w:p>
        </w:tc>
        <w:tc>
          <w:tcPr>
            <w:tcW w:type="dxa" w:w="3600"/>
            <w:tcMar>
              <w:top w:type="dxa" w:w="90"/>
              <w:left w:type="dxa" w:w="130"/>
              <w:bottom w:type="dxa" w:w="90"/>
              <w:right w:type="dxa" w:w="130"/>
            </w:tcMar>
          </w:tcPr>
          <w:p>
            <w:pPr>
              <w:spacing w:after="0" w:line="260"/>
            </w:pPr>
            <w:r>
              <w:rPr>
                <w:b w:val="false"/>
                <w:bCs w:val="false"/>
                <w:sz w:val="20"/>
                <w:szCs w:val="20"/>
              </w:rPr>
              <w:t xml:space="preserve">Article 17 right to erasure, subject to the exemptions at Article 17(3) including legal obligation and legal claims.</w:t>
            </w:r>
          </w:p>
        </w:tc>
        <w:tc>
          <w:tcPr>
            <w:tcW w:type="dxa" w:w="3560"/>
            <w:tcMar>
              <w:top w:type="dxa" w:w="90"/>
              <w:left w:type="dxa" w:w="130"/>
              <w:bottom w:type="dxa" w:w="90"/>
              <w:right w:type="dxa" w:w="130"/>
            </w:tcMar>
          </w:tcPr>
          <w:p>
            <w:pPr>
              <w:spacing w:after="0" w:line="260"/>
            </w:pPr>
            <w:r>
              <w:rPr>
                <w:b w:val="false"/>
                <w:bCs w:val="false"/>
                <w:sz w:val="20"/>
                <w:szCs w:val="20"/>
              </w:rPr>
              <w:t xml:space="preserve">Deletion rights vary by state and by residency of the individual. The strictest applicable state position is applied.</w:t>
            </w:r>
          </w:p>
        </w:tc>
      </w:tr>
      <w:tr>
        <w:trPr>
          <w:tblHeader w:val="false"/>
        </w:trPr>
        <w:tc>
          <w:tcPr>
            <w:tcW w:type="dxa" w:w="2200"/>
            <w:tcMar>
              <w:top w:type="dxa" w:w="90"/>
              <w:left w:type="dxa" w:w="130"/>
              <w:bottom w:type="dxa" w:w="90"/>
              <w:right w:type="dxa" w:w="130"/>
            </w:tcMar>
          </w:tcPr>
          <w:p>
            <w:pPr>
              <w:spacing w:after="0" w:line="260"/>
            </w:pPr>
            <w:r>
              <w:rPr>
                <w:b w:val="false"/>
                <w:bCs w:val="false"/>
                <w:sz w:val="20"/>
                <w:szCs w:val="20"/>
              </w:rPr>
              <w:t xml:space="preserve">Access right</w:t>
            </w:r>
          </w:p>
        </w:tc>
        <w:tc>
          <w:tcPr>
            <w:tcW w:type="dxa" w:w="3600"/>
            <w:tcMar>
              <w:top w:type="dxa" w:w="90"/>
              <w:left w:type="dxa" w:w="130"/>
              <w:bottom w:type="dxa" w:w="90"/>
              <w:right w:type="dxa" w:w="130"/>
            </w:tcMar>
          </w:tcPr>
          <w:p>
            <w:pPr>
              <w:spacing w:after="0" w:line="260"/>
            </w:pPr>
            <w:r>
              <w:rPr>
                <w:b w:val="false"/>
                <w:bCs w:val="false"/>
                <w:sz w:val="20"/>
                <w:szCs w:val="20"/>
              </w:rPr>
              <w:t xml:space="preserve">Article 15, one month, extendable by two months for complex requests.</w:t>
            </w:r>
          </w:p>
        </w:tc>
        <w:tc>
          <w:tcPr>
            <w:tcW w:type="dxa" w:w="3560"/>
            <w:tcMar>
              <w:top w:type="dxa" w:w="90"/>
              <w:left w:type="dxa" w:w="130"/>
              <w:bottom w:type="dxa" w:w="90"/>
              <w:right w:type="dxa" w:w="130"/>
            </w:tcMar>
          </w:tcPr>
          <w:p>
            <w:pPr>
              <w:spacing w:after="0" w:line="260"/>
            </w:pPr>
            <w:r>
              <w:rPr>
                <w:b w:val="false"/>
                <w:bCs w:val="false"/>
                <w:sz w:val="20"/>
                <w:szCs w:val="20"/>
              </w:rPr>
              <w:t xml:space="preserve">Varies by state; the shortest applicable deadline governs the programme.</w:t>
            </w:r>
          </w:p>
        </w:tc>
      </w:tr>
      <w:tr>
        <w:trPr>
          <w:tblHeader w:val="false"/>
        </w:trPr>
        <w:tc>
          <w:tcPr>
            <w:tcW w:type="dxa" w:w="2200"/>
            <w:tcMar>
              <w:top w:type="dxa" w:w="90"/>
              <w:left w:type="dxa" w:w="130"/>
              <w:bottom w:type="dxa" w:w="90"/>
              <w:right w:type="dxa" w:w="130"/>
            </w:tcMar>
          </w:tcPr>
          <w:p>
            <w:pPr>
              <w:spacing w:after="0" w:line="260"/>
            </w:pPr>
            <w:r>
              <w:rPr>
                <w:b w:val="false"/>
                <w:bCs w:val="false"/>
                <w:sz w:val="20"/>
                <w:szCs w:val="20"/>
              </w:rPr>
              <w:t xml:space="preserve">Cross-border transfer</w:t>
            </w:r>
          </w:p>
        </w:tc>
        <w:tc>
          <w:tcPr>
            <w:tcW w:type="dxa" w:w="3600"/>
            <w:tcMar>
              <w:top w:type="dxa" w:w="90"/>
              <w:left w:type="dxa" w:w="130"/>
              <w:bottom w:type="dxa" w:w="90"/>
              <w:right w:type="dxa" w:w="130"/>
            </w:tcMar>
          </w:tcPr>
          <w:p>
            <w:pPr>
              <w:spacing w:after="0" w:line="260"/>
            </w:pPr>
            <w:r>
              <w:rPr>
                <w:b w:val="false"/>
                <w:bCs w:val="false"/>
                <w:sz w:val="20"/>
                <w:szCs w:val="20"/>
              </w:rPr>
              <w:t xml:space="preserve">Documented mechanism required before transfer begins; approved by the DPO.</w:t>
            </w:r>
          </w:p>
        </w:tc>
        <w:tc>
          <w:tcPr>
            <w:tcW w:type="dxa" w:w="3560"/>
            <w:tcMar>
              <w:top w:type="dxa" w:w="90"/>
              <w:left w:type="dxa" w:w="130"/>
              <w:bottom w:type="dxa" w:w="90"/>
              <w:right w:type="dxa" w:w="130"/>
            </w:tcMar>
          </w:tcPr>
          <w:p>
            <w:pPr>
              <w:spacing w:after="0" w:line="260"/>
            </w:pPr>
            <w:r>
              <w:rPr>
                <w:b w:val="false"/>
                <w:bCs w:val="false"/>
                <w:sz w:val="20"/>
                <w:szCs w:val="20"/>
              </w:rPr>
              <w:t xml:space="preserve">No general restriction, but contractual and sectoral restrictions may apply.</w:t>
            </w:r>
          </w:p>
        </w:tc>
      </w:tr>
      <w:tr>
        <w:trPr>
          <w:tblHeader w:val="false"/>
        </w:trPr>
        <w:tc>
          <w:tcPr>
            <w:tcW w:type="dxa" w:w="2200"/>
            <w:tcMar>
              <w:top w:type="dxa" w:w="90"/>
              <w:left w:type="dxa" w:w="130"/>
              <w:bottom w:type="dxa" w:w="90"/>
              <w:right w:type="dxa" w:w="130"/>
            </w:tcMar>
          </w:tcPr>
          <w:p>
            <w:pPr>
              <w:spacing w:after="0" w:line="260"/>
            </w:pPr>
            <w:r>
              <w:rPr>
                <w:b w:val="false"/>
                <w:bCs w:val="false"/>
                <w:sz w:val="20"/>
                <w:szCs w:val="20"/>
              </w:rPr>
              <w:t xml:space="preserve">Financial crime records</w:t>
            </w:r>
          </w:p>
        </w:tc>
        <w:tc>
          <w:tcPr>
            <w:tcW w:type="dxa" w:w="3600"/>
            <w:tcMar>
              <w:top w:type="dxa" w:w="90"/>
              <w:left w:type="dxa" w:w="130"/>
              <w:bottom w:type="dxa" w:w="90"/>
              <w:right w:type="dxa" w:w="130"/>
            </w:tcMar>
          </w:tcPr>
          <w:p>
            <w:pPr>
              <w:spacing w:after="0" w:line="260"/>
            </w:pPr>
            <w:r>
              <w:rPr>
                <w:b w:val="false"/>
                <w:bCs w:val="false"/>
                <w:sz w:val="20"/>
                <w:szCs w:val="20"/>
              </w:rPr>
              <w:t xml:space="preserve">Tipping-off is a criminal offence. Restricted — Controlled Access applies without exception.</w:t>
            </w:r>
          </w:p>
        </w:tc>
        <w:tc>
          <w:tcPr>
            <w:tcW w:type="dxa" w:w="3560"/>
            <w:tcMar>
              <w:top w:type="dxa" w:w="90"/>
              <w:left w:type="dxa" w:w="130"/>
              <w:bottom w:type="dxa" w:w="90"/>
              <w:right w:type="dxa" w:w="130"/>
            </w:tcMar>
          </w:tcPr>
          <w:p>
            <w:pPr>
              <w:spacing w:after="0" w:line="260"/>
            </w:pPr>
            <w:r>
              <w:rPr>
                <w:b w:val="false"/>
                <w:bCs w:val="false"/>
                <w:sz w:val="20"/>
                <w:szCs w:val="20"/>
              </w:rPr>
              <w:t xml:space="preserve">Disclosure prohibitions apply. The same handling is applied.</w:t>
            </w:r>
          </w:p>
        </w:tc>
      </w:tr>
    </w:tbl>
    <w:p>
      <w:pPr>
        <w:pStyle w:val="Heading1"/>
        <w:spacing w:after="160" w:before="320"/>
      </w:pPr>
      <w:r>
        <w:t xml:space="preserve">10. Roles and responsibilities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6760"/>
      </w:tblGrid>
      <w:tr>
        <w:trPr>
          <w:tblHeader/>
        </w:trPr>
        <w:tc>
          <w:tcPr>
            <w:tcW w:type="dxa" w:w="2600"/>
            <w:shd w:fill="E7EAF0" w:color="auto" w:val="clear"/>
            <w:tcMar>
              <w:top w:type="dxa" w:w="90"/>
              <w:left w:type="dxa" w:w="130"/>
              <w:bottom w:type="dxa" w:w="90"/>
              <w:right w:type="dxa" w:w="130"/>
            </w:tcMar>
          </w:tcPr>
          <w:p>
            <w:pPr>
              <w:spacing w:after="0" w:line="260"/>
            </w:pPr>
            <w:r>
              <w:rPr>
                <w:b/>
                <w:bCs/>
                <w:sz w:val="20"/>
                <w:szCs w:val="20"/>
              </w:rPr>
              <w:t xml:space="preserve">Role</w:t>
            </w:r>
          </w:p>
        </w:tc>
        <w:tc>
          <w:tcPr>
            <w:tcW w:type="dxa" w:w="6760"/>
            <w:shd w:fill="E7EAF0" w:color="auto" w:val="clear"/>
            <w:tcMar>
              <w:top w:type="dxa" w:w="90"/>
              <w:left w:type="dxa" w:w="130"/>
              <w:bottom w:type="dxa" w:w="90"/>
              <w:right w:type="dxa" w:w="130"/>
            </w:tcMar>
          </w:tcPr>
          <w:p>
            <w:pPr>
              <w:spacing w:after="0" w:line="260"/>
            </w:pPr>
            <w:r>
              <w:rPr>
                <w:b/>
                <w:bCs/>
                <w:sz w:val="20"/>
                <w:szCs w:val="20"/>
              </w:rPr>
              <w:t xml:space="preserve">Responsibility</w:t>
            </w:r>
          </w:p>
        </w:tc>
      </w:tr>
      <w:tr>
        <w:trPr>
          <w:tblHeader w:val="false"/>
        </w:trPr>
        <w:tc>
          <w:tcPr>
            <w:tcW w:type="dxa" w:w="2600"/>
            <w:tcMar>
              <w:top w:type="dxa" w:w="90"/>
              <w:left w:type="dxa" w:w="130"/>
              <w:bottom w:type="dxa" w:w="90"/>
              <w:right w:type="dxa" w:w="130"/>
            </w:tcMar>
          </w:tcPr>
          <w:p>
            <w:pPr>
              <w:spacing w:after="0" w:line="260"/>
            </w:pPr>
            <w:r>
              <w:rPr>
                <w:b w:val="false"/>
                <w:bCs w:val="false"/>
                <w:sz w:val="20"/>
                <w:szCs w:val="20"/>
              </w:rPr>
              <w:t xml:space="preserve">All workers</w:t>
            </w:r>
          </w:p>
        </w:tc>
        <w:tc>
          <w:tcPr>
            <w:tcW w:type="dxa" w:w="6760"/>
            <w:tcMar>
              <w:top w:type="dxa" w:w="90"/>
              <w:left w:type="dxa" w:w="130"/>
              <w:bottom w:type="dxa" w:w="90"/>
              <w:right w:type="dxa" w:w="130"/>
            </w:tcMar>
          </w:tcPr>
          <w:p>
            <w:pPr>
              <w:spacing w:after="0" w:line="260"/>
            </w:pPr>
            <w:r>
              <w:rPr>
                <w:b w:val="false"/>
                <w:bCs w:val="false"/>
                <w:sz w:val="20"/>
                <w:szCs w:val="20"/>
              </w:rPr>
              <w:t xml:space="preserve">Classify information they create; apply the handling rules; challenge unlabelled or mishandled information.</w:t>
            </w:r>
          </w:p>
        </w:tc>
      </w:tr>
      <w:tr>
        <w:trPr>
          <w:tblHeader w:val="false"/>
        </w:trPr>
        <w:tc>
          <w:tcPr>
            <w:tcW w:type="dxa" w:w="2600"/>
            <w:tcMar>
              <w:top w:type="dxa" w:w="90"/>
              <w:left w:type="dxa" w:w="130"/>
              <w:bottom w:type="dxa" w:w="90"/>
              <w:right w:type="dxa" w:w="130"/>
            </w:tcMar>
          </w:tcPr>
          <w:p>
            <w:pPr>
              <w:spacing w:after="0" w:line="260"/>
            </w:pPr>
            <w:r>
              <w:rPr>
                <w:b w:val="false"/>
                <w:bCs w:val="false"/>
                <w:sz w:val="20"/>
                <w:szCs w:val="20"/>
              </w:rPr>
              <w:t xml:space="preserve">Information Owners</w:t>
            </w:r>
          </w:p>
        </w:tc>
        <w:tc>
          <w:tcPr>
            <w:tcW w:type="dxa" w:w="6760"/>
            <w:tcMar>
              <w:top w:type="dxa" w:w="90"/>
              <w:left w:type="dxa" w:w="130"/>
              <w:bottom w:type="dxa" w:w="90"/>
              <w:right w:type="dxa" w:w="130"/>
            </w:tcMar>
          </w:tcPr>
          <w:p>
            <w:pPr>
              <w:spacing w:after="0" w:line="260"/>
            </w:pPr>
            <w:r>
              <w:rPr>
                <w:b w:val="false"/>
                <w:bCs w:val="false"/>
                <w:sz w:val="20"/>
                <w:szCs w:val="20"/>
              </w:rPr>
              <w:t xml:space="preserve">Assign and review classification; approve access, downgrade and disposal; confirm retention periods.</w:t>
            </w:r>
          </w:p>
        </w:tc>
      </w:tr>
      <w:tr>
        <w:trPr>
          <w:tblHeader w:val="false"/>
        </w:trPr>
        <w:tc>
          <w:tcPr>
            <w:tcW w:type="dxa" w:w="2600"/>
            <w:tcMar>
              <w:top w:type="dxa" w:w="90"/>
              <w:left w:type="dxa" w:w="130"/>
              <w:bottom w:type="dxa" w:w="90"/>
              <w:right w:type="dxa" w:w="130"/>
            </w:tcMar>
          </w:tcPr>
          <w:p>
            <w:pPr>
              <w:spacing w:after="0" w:line="260"/>
            </w:pPr>
            <w:r>
              <w:rPr>
                <w:b w:val="false"/>
                <w:bCs w:val="false"/>
                <w:sz w:val="20"/>
                <w:szCs w:val="20"/>
              </w:rPr>
              <w:t xml:space="preserve">Information Custodians</w:t>
            </w:r>
          </w:p>
        </w:tc>
        <w:tc>
          <w:tcPr>
            <w:tcW w:type="dxa" w:w="6760"/>
            <w:tcMar>
              <w:top w:type="dxa" w:w="90"/>
              <w:left w:type="dxa" w:w="130"/>
              <w:bottom w:type="dxa" w:w="90"/>
              <w:right w:type="dxa" w:w="130"/>
            </w:tcMar>
          </w:tcPr>
          <w:p>
            <w:pPr>
              <w:spacing w:after="0" w:line="260"/>
            </w:pPr>
            <w:r>
              <w:rPr>
                <w:b w:val="false"/>
                <w:bCs w:val="false"/>
                <w:sz w:val="20"/>
                <w:szCs w:val="20"/>
              </w:rPr>
              <w:t xml:space="preserve">Implement and operate the technical controls required by each classification.</w:t>
            </w:r>
          </w:p>
        </w:tc>
      </w:tr>
      <w:tr>
        <w:trPr>
          <w:tblHeader w:val="false"/>
        </w:trPr>
        <w:tc>
          <w:tcPr>
            <w:tcW w:type="dxa" w:w="2600"/>
            <w:tcMar>
              <w:top w:type="dxa" w:w="90"/>
              <w:left w:type="dxa" w:w="130"/>
              <w:bottom w:type="dxa" w:w="90"/>
              <w:right w:type="dxa" w:w="130"/>
            </w:tcMar>
          </w:tcPr>
          <w:p>
            <w:pPr>
              <w:spacing w:after="0" w:line="260"/>
            </w:pPr>
            <w:r>
              <w:rPr>
                <w:b w:val="false"/>
                <w:bCs w:val="false"/>
                <w:sz w:val="20"/>
                <w:szCs w:val="20"/>
              </w:rPr>
              <w:t xml:space="preserve">Data Protection Officer</w:t>
            </w:r>
          </w:p>
        </w:tc>
        <w:tc>
          <w:tcPr>
            <w:tcW w:type="dxa" w:w="6760"/>
            <w:tcMar>
              <w:top w:type="dxa" w:w="90"/>
              <w:left w:type="dxa" w:w="130"/>
              <w:bottom w:type="dxa" w:w="90"/>
              <w:right w:type="dxa" w:w="130"/>
            </w:tcMar>
          </w:tcPr>
          <w:p>
            <w:pPr>
              <w:spacing w:after="0" w:line="260"/>
            </w:pPr>
            <w:r>
              <w:rPr>
                <w:b w:val="false"/>
                <w:bCs w:val="false"/>
                <w:sz w:val="20"/>
                <w:szCs w:val="20"/>
              </w:rPr>
              <w:t xml:space="preserve">Advises on personal data classification, lawful basis, retention and transfer.</w:t>
            </w:r>
          </w:p>
        </w:tc>
      </w:tr>
      <w:tr>
        <w:trPr>
          <w:tblHeader w:val="false"/>
        </w:trPr>
        <w:tc>
          <w:tcPr>
            <w:tcW w:type="dxa" w:w="2600"/>
            <w:tcMar>
              <w:top w:type="dxa" w:w="90"/>
              <w:left w:type="dxa" w:w="130"/>
              <w:bottom w:type="dxa" w:w="90"/>
              <w:right w:type="dxa" w:w="130"/>
            </w:tcMar>
          </w:tcPr>
          <w:p>
            <w:pPr>
              <w:spacing w:after="0" w:line="260"/>
            </w:pPr>
            <w:r>
              <w:rPr>
                <w:b w:val="false"/>
                <w:bCs w:val="false"/>
                <w:sz w:val="20"/>
                <w:szCs w:val="20"/>
              </w:rPr>
              <w:t xml:space="preserve">Chief Information Security Officer</w:t>
            </w:r>
          </w:p>
        </w:tc>
        <w:tc>
          <w:tcPr>
            <w:tcW w:type="dxa" w:w="6760"/>
            <w:tcMar>
              <w:top w:type="dxa" w:w="90"/>
              <w:left w:type="dxa" w:w="130"/>
              <w:bottom w:type="dxa" w:w="90"/>
              <w:right w:type="dxa" w:w="130"/>
            </w:tcMar>
          </w:tcPr>
          <w:p>
            <w:pPr>
              <w:spacing w:after="0" w:line="260"/>
            </w:pPr>
            <w:r>
              <w:rPr>
                <w:b w:val="false"/>
                <w:bCs w:val="false"/>
                <w:sz w:val="20"/>
                <w:szCs w:val="20"/>
              </w:rPr>
              <w:t xml:space="preserve">Owns this policy; approves exceptions; oversees data loss prevention coverage.</w:t>
            </w:r>
          </w:p>
        </w:tc>
      </w:tr>
      <w:tr>
        <w:trPr>
          <w:tblHeader w:val="false"/>
        </w:trPr>
        <w:tc>
          <w:tcPr>
            <w:tcW w:type="dxa" w:w="2600"/>
            <w:tcMar>
              <w:top w:type="dxa" w:w="90"/>
              <w:left w:type="dxa" w:w="130"/>
              <w:bottom w:type="dxa" w:w="90"/>
              <w:right w:type="dxa" w:w="130"/>
            </w:tcMar>
          </w:tcPr>
          <w:p>
            <w:pPr>
              <w:spacing w:after="0" w:line="260"/>
            </w:pPr>
            <w:r>
              <w:rPr>
                <w:b w:val="false"/>
                <w:bCs w:val="false"/>
                <w:sz w:val="20"/>
                <w:szCs w:val="20"/>
              </w:rPr>
              <w:t xml:space="preserve">Information Governance</w:t>
            </w:r>
          </w:p>
        </w:tc>
        <w:tc>
          <w:tcPr>
            <w:tcW w:type="dxa" w:w="6760"/>
            <w:tcMar>
              <w:top w:type="dxa" w:w="90"/>
              <w:left w:type="dxa" w:w="130"/>
              <w:bottom w:type="dxa" w:w="90"/>
              <w:right w:type="dxa" w:w="130"/>
            </w:tcMar>
          </w:tcPr>
          <w:p>
            <w:pPr>
              <w:spacing w:after="0" w:line="260"/>
            </w:pPr>
            <w:r>
              <w:rPr>
                <w:b w:val="false"/>
                <w:bCs w:val="false"/>
                <w:sz w:val="20"/>
                <w:szCs w:val="20"/>
              </w:rPr>
              <w:t xml:space="preserve">Maintains the asset register, data catalogue and Records Retention Schedule.</w:t>
            </w:r>
          </w:p>
        </w:tc>
      </w:tr>
      <w:tr>
        <w:trPr>
          <w:tblHeader w:val="false"/>
        </w:trPr>
        <w:tc>
          <w:tcPr>
            <w:tcW w:type="dxa" w:w="2600"/>
            <w:tcMar>
              <w:top w:type="dxa" w:w="90"/>
              <w:left w:type="dxa" w:w="130"/>
              <w:bottom w:type="dxa" w:w="90"/>
              <w:right w:type="dxa" w:w="130"/>
            </w:tcMar>
          </w:tcPr>
          <w:p>
            <w:pPr>
              <w:spacing w:after="0" w:line="260"/>
            </w:pPr>
            <w:r>
              <w:rPr>
                <w:b w:val="false"/>
                <w:bCs w:val="false"/>
                <w:sz w:val="20"/>
                <w:szCs w:val="20"/>
              </w:rPr>
              <w:t xml:space="preserve">Internal Audit</w:t>
            </w:r>
          </w:p>
        </w:tc>
        <w:tc>
          <w:tcPr>
            <w:tcW w:type="dxa" w:w="6760"/>
            <w:tcMar>
              <w:top w:type="dxa" w:w="90"/>
              <w:left w:type="dxa" w:w="130"/>
              <w:bottom w:type="dxa" w:w="90"/>
              <w:right w:type="dxa" w:w="130"/>
            </w:tcMar>
          </w:tcPr>
          <w:p>
            <w:pPr>
              <w:spacing w:after="0" w:line="260"/>
            </w:pPr>
            <w:r>
              <w:rPr>
                <w:b w:val="false"/>
                <w:bCs w:val="false"/>
                <w:sz w:val="20"/>
                <w:szCs w:val="20"/>
              </w:rPr>
              <w:t xml:space="preserve">Tests classification accuracy and handling compliance on a sample basis.</w:t>
            </w:r>
          </w:p>
        </w:tc>
      </w:tr>
    </w:tbl>
    <w:p>
      <w:pPr>
        <w:pStyle w:val="Heading1"/>
        <w:spacing w:after="160" w:before="320"/>
      </w:pPr>
      <w:r>
        <w:t xml:space="preserve">11. Compliance and enforcement</w:t>
      </w:r>
    </w:p>
    <w:p>
      <w:pPr>
        <w:spacing w:after="140" w:line="276"/>
      </w:pPr>
      <w:r>
        <w:rPr>
          <w:sz w:val="22"/>
          <w:szCs w:val="22"/>
        </w:rPr>
        <w:t xml:space="preserve">Compliance is monitored through data loss prevention telemetry, data discovery scanning across the estate, sharing-link audits, access recertification results and internal audit sampling. Misclassification, mishandling and unauthorised disclosure are reported as security incidents under the Incident Response Policy and may result in disciplinary action.</w:t>
      </w:r>
    </w:p>
    <w:p>
      <w:pPr>
        <w:pStyle w:val="Heading1"/>
        <w:spacing w:after="160" w:before="320"/>
      </w:pPr>
      <w:r>
        <w:t xml:space="preserve">12. Exceptions</w:t>
      </w:r>
    </w:p>
    <w:p>
      <w:pPr>
        <w:spacing w:after="140" w:line="276"/>
      </w:pPr>
      <w:r>
        <w:rPr>
          <w:sz w:val="22"/>
          <w:szCs w:val="22"/>
        </w:rPr>
        <w:t xml:space="preserve">Exceptions must be requested in advance through the Information Security exception process with the agreement of the relevant Information Owner, must specify compensating controls, and are time-bound. Exceptions are not granted to the prohibition on emailing Restricted information, to the encryption requirements for Restricted information, or to a legal hold.</w:t>
      </w:r>
    </w:p>
    <w:p>
      <w:pPr>
        <w:pStyle w:val="Heading1"/>
        <w:spacing w:after="160" w:before="320"/>
      </w:pPr>
      <w:r>
        <w:t xml:space="preserve">12A. What this policy does not cover</w:t>
      </w:r>
    </w:p>
    <w:p>
      <w:pPr>
        <w:pStyle w:val="ListParagraph"/>
        <w:numPr>
          <w:ilvl w:val="0"/>
          <w:numId w:val="2"/>
        </w:numPr>
        <w:spacing w:after="80" w:line="276"/>
      </w:pPr>
      <w:r>
        <w:rPr>
          <w:sz w:val="22"/>
          <w:szCs w:val="22"/>
        </w:rPr>
        <w:t xml:space="preserve">Cryptographic parameters, key management and media sanitisation methods — AFT-ISMS-STD-09.</w:t>
      </w:r>
    </w:p>
    <w:p>
      <w:pPr>
        <w:pStyle w:val="ListParagraph"/>
        <w:numPr>
          <w:ilvl w:val="0"/>
          <w:numId w:val="2"/>
        </w:numPr>
        <w:spacing w:after="80" w:line="276"/>
      </w:pPr>
      <w:r>
        <w:rPr>
          <w:sz w:val="22"/>
          <w:szCs w:val="22"/>
        </w:rPr>
        <w:t xml:space="preserve">Specific retention periods by record category — AFT-IG-SCH-01, which is the authority.</w:t>
      </w:r>
    </w:p>
    <w:p>
      <w:pPr>
        <w:pStyle w:val="ListParagraph"/>
        <w:numPr>
          <w:ilvl w:val="0"/>
          <w:numId w:val="2"/>
        </w:numPr>
        <w:spacing w:after="80" w:line="276"/>
      </w:pPr>
      <w:r>
        <w:rPr>
          <w:sz w:val="22"/>
          <w:szCs w:val="22"/>
        </w:rPr>
        <w:t xml:space="preserve">Access request, approval and recertification process — AFT-ISMS-POL-03.</w:t>
      </w:r>
    </w:p>
    <w:p>
      <w:pPr>
        <w:pStyle w:val="ListParagraph"/>
        <w:numPr>
          <w:ilvl w:val="0"/>
          <w:numId w:val="2"/>
        </w:numPr>
        <w:spacing w:after="80" w:line="276"/>
      </w:pPr>
      <w:r>
        <w:rPr>
          <w:sz w:val="22"/>
          <w:szCs w:val="22"/>
        </w:rPr>
        <w:t xml:space="preserve">The financial crime programme itself. This policy classifies its records and governs their handling; the programme is governed by Legal and Compliance.</w:t>
      </w:r>
    </w:p>
    <w:p>
      <w:pPr>
        <w:pStyle w:val="ListParagraph"/>
        <w:numPr>
          <w:ilvl w:val="0"/>
          <w:numId w:val="2"/>
        </w:numPr>
        <w:spacing w:after="80" w:line="276"/>
      </w:pPr>
      <w:r>
        <w:rPr>
          <w:sz w:val="22"/>
          <w:szCs w:val="22"/>
        </w:rPr>
        <w:t xml:space="preserve">Lawful basis for processing, and the data protection compliance programme — AFT-LEG-POL-01.</w:t>
      </w:r>
    </w:p>
    <w:p>
      <w:pPr>
        <w:pStyle w:val="Heading1"/>
        <w:spacing w:after="160" w:before="320"/>
      </w:pPr>
      <w:r>
        <w:t xml:space="preserve">12B. Open decisions</w:t>
      </w:r>
    </w:p>
    <w:p>
      <w:pPr>
        <w:spacing w:after="140" w:line="276"/>
      </w:pPr>
      <w:r>
        <w:rPr>
          <w:sz w:val="22"/>
          <w:szCs w:val="22"/>
        </w:rPr>
        <w:t xml:space="preserve">Two matters affecting this policy are undecided and workers should not assume either is resolved.</w:t>
      </w:r>
    </w:p>
    <w:p>
      <w:pPr>
        <w:pStyle w:val="ListParagraph"/>
        <w:numPr>
          <w:ilvl w:val="0"/>
          <w:numId w:val="2"/>
        </w:numPr>
        <w:spacing w:after="80" w:line="276"/>
      </w:pPr>
      <w:r>
        <w:rPr>
          <w:sz w:val="22"/>
          <w:szCs w:val="22"/>
        </w:rPr>
        <w:t xml:space="preserve">Whether the Restricted — Controlled Access category is implemented as a distinct technical label or operated as a procedural control within Restricted. The Executive Risk Committee has not decided. Until it does, the handling obligations at 4.1 apply procedurally and in full.</w:t>
      </w:r>
    </w:p>
    <w:p>
      <w:pPr>
        <w:pStyle w:val="ListParagraph"/>
        <w:numPr>
          <w:ilvl w:val="0"/>
          <w:numId w:val="2"/>
        </w:numPr>
        <w:spacing w:after="80" w:line="276"/>
      </w:pPr>
      <w:r>
        <w:rPr>
          <w:sz w:val="22"/>
          <w:szCs w:val="22"/>
        </w:rPr>
        <w:t xml:space="preserve">Whether automated retention enforcement is implemented in the analytics warehouse before or after the ISO certification Stage 1 assessment. The obligation is not in doubt; the sequencing is.</w:t>
      </w:r>
    </w:p>
    <w:p>
      <w:pPr>
        <w:pStyle w:val="Heading1"/>
        <w:spacing w:after="160" w:before="320"/>
      </w:pPr>
      <w:r>
        <w:t xml:space="preserve">13. Related documents</w:t>
      </w:r>
    </w:p>
    <w:p>
      <w:pPr>
        <w:pStyle w:val="ListParagraph"/>
        <w:numPr>
          <w:ilvl w:val="0"/>
          <w:numId w:val="2"/>
        </w:numPr>
        <w:spacing w:after="80" w:line="276"/>
      </w:pPr>
      <w:r>
        <w:rPr>
          <w:sz w:val="22"/>
          <w:szCs w:val="22"/>
        </w:rPr>
        <w:t xml:space="preserve">AFT-ISMS-POL-01 — Acceptable Use Policy</w:t>
      </w:r>
    </w:p>
    <w:p>
      <w:pPr>
        <w:pStyle w:val="ListParagraph"/>
        <w:numPr>
          <w:ilvl w:val="0"/>
          <w:numId w:val="2"/>
        </w:numPr>
        <w:spacing w:after="80" w:line="276"/>
      </w:pPr>
      <w:r>
        <w:rPr>
          <w:sz w:val="22"/>
          <w:szCs w:val="22"/>
        </w:rPr>
        <w:t xml:space="preserve">AFT-ISMS-POL-02 — Information Security Incident Response Policy</w:t>
      </w:r>
    </w:p>
    <w:p>
      <w:pPr>
        <w:pStyle w:val="ListParagraph"/>
        <w:numPr>
          <w:ilvl w:val="0"/>
          <w:numId w:val="2"/>
        </w:numPr>
        <w:spacing w:after="80" w:line="276"/>
      </w:pPr>
      <w:r>
        <w:rPr>
          <w:sz w:val="22"/>
          <w:szCs w:val="22"/>
        </w:rPr>
        <w:t xml:space="preserve">AFT-ISMS-POL-03 — Access Control Policy</w:t>
      </w:r>
    </w:p>
    <w:p>
      <w:pPr>
        <w:pStyle w:val="ListParagraph"/>
        <w:numPr>
          <w:ilvl w:val="0"/>
          <w:numId w:val="2"/>
        </w:numPr>
        <w:spacing w:after="80" w:line="276"/>
      </w:pPr>
      <w:r>
        <w:rPr>
          <w:sz w:val="22"/>
          <w:szCs w:val="22"/>
        </w:rPr>
        <w:t xml:space="preserve">AFT-ISMS-POL-09 — Third-Party Risk Management Policy</w:t>
      </w:r>
    </w:p>
    <w:p>
      <w:pPr>
        <w:pStyle w:val="ListParagraph"/>
        <w:numPr>
          <w:ilvl w:val="0"/>
          <w:numId w:val="2"/>
        </w:numPr>
        <w:spacing w:after="80" w:line="276"/>
      </w:pPr>
      <w:r>
        <w:rPr>
          <w:sz w:val="22"/>
          <w:szCs w:val="22"/>
        </w:rPr>
        <w:t xml:space="preserve">AFT-ISMS-STD-09 — Cryptographic Key Management Standard</w:t>
      </w:r>
    </w:p>
    <w:p>
      <w:pPr>
        <w:pStyle w:val="ListParagraph"/>
        <w:numPr>
          <w:ilvl w:val="0"/>
          <w:numId w:val="2"/>
        </w:numPr>
        <w:spacing w:after="80" w:line="276"/>
      </w:pPr>
      <w:r>
        <w:rPr>
          <w:sz w:val="22"/>
          <w:szCs w:val="22"/>
        </w:rPr>
        <w:t xml:space="preserve">AFT-IG-SCH-01 — Records Retention Schedule</w:t>
      </w:r>
    </w:p>
    <w:p>
      <w:pPr>
        <w:pStyle w:val="ListParagraph"/>
        <w:numPr>
          <w:ilvl w:val="0"/>
          <w:numId w:val="2"/>
        </w:numPr>
        <w:spacing w:after="80" w:line="276"/>
      </w:pPr>
      <w:r>
        <w:rPr>
          <w:sz w:val="22"/>
          <w:szCs w:val="22"/>
        </w:rPr>
        <w:t xml:space="preserve">AFT-LEG-POL-01 — Data Protection Policy</w:t>
      </w:r>
    </w:p>
    <w:p>
      <w:pPr>
        <w:pStyle w:val="Heading1"/>
        <w:spacing w:after="160" w:before="320"/>
      </w:pPr>
      <w:r>
        <w:t xml:space="preserve">14. Standards mapping</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4360"/>
        <w:gridCol w:w="2600"/>
      </w:tblGrid>
      <w:tr>
        <w:trPr>
          <w:tblHeader/>
        </w:trPr>
        <w:tc>
          <w:tcPr>
            <w:tcW w:type="dxa" w:w="2400"/>
            <w:shd w:fill="E7EAF0" w:color="auto" w:val="clear"/>
            <w:tcMar>
              <w:top w:type="dxa" w:w="90"/>
              <w:left w:type="dxa" w:w="130"/>
              <w:bottom w:type="dxa" w:w="90"/>
              <w:right w:type="dxa" w:w="130"/>
            </w:tcMar>
          </w:tcPr>
          <w:p>
            <w:pPr>
              <w:spacing w:after="0" w:line="260"/>
            </w:pPr>
            <w:r>
              <w:rPr>
                <w:b/>
                <w:bCs/>
                <w:sz w:val="20"/>
                <w:szCs w:val="20"/>
              </w:rPr>
              <w:t xml:space="preserve">Framework</w:t>
            </w:r>
          </w:p>
        </w:tc>
        <w:tc>
          <w:tcPr>
            <w:tcW w:type="dxa" w:w="4360"/>
            <w:shd w:fill="E7EAF0" w:color="auto" w:val="clear"/>
            <w:tcMar>
              <w:top w:type="dxa" w:w="90"/>
              <w:left w:type="dxa" w:w="130"/>
              <w:bottom w:type="dxa" w:w="90"/>
              <w:right w:type="dxa" w:w="130"/>
            </w:tcMar>
          </w:tcPr>
          <w:p>
            <w:pPr>
              <w:spacing w:after="0" w:line="260"/>
            </w:pPr>
            <w:r>
              <w:rPr>
                <w:b/>
                <w:bCs/>
                <w:sz w:val="20"/>
                <w:szCs w:val="20"/>
              </w:rPr>
              <w:t xml:space="preserve">Reference</w:t>
            </w:r>
          </w:p>
        </w:tc>
        <w:tc>
          <w:tcPr>
            <w:tcW w:type="dxa" w:w="2600"/>
            <w:shd w:fill="E7EAF0" w:color="auto" w:val="clear"/>
            <w:tcMar>
              <w:top w:type="dxa" w:w="90"/>
              <w:left w:type="dxa" w:w="130"/>
              <w:bottom w:type="dxa" w:w="90"/>
              <w:right w:type="dxa" w:w="130"/>
            </w:tcMar>
          </w:tcPr>
          <w:p>
            <w:pPr>
              <w:spacing w:after="0" w:line="260"/>
            </w:pPr>
            <w:r>
              <w:rPr>
                <w:b/>
                <w:bCs/>
                <w:sz w:val="20"/>
                <w:szCs w:val="20"/>
              </w:rPr>
              <w:t xml:space="preserve">Control theme</w:t>
            </w:r>
          </w:p>
        </w:tc>
      </w:tr>
      <w:tr>
        <w:trPr>
          <w:tblHeader w:val="false"/>
        </w:trPr>
        <w:tc>
          <w:tcPr>
            <w:tcW w:type="dxa" w:w="2400"/>
            <w:tcMar>
              <w:top w:type="dxa" w:w="90"/>
              <w:left w:type="dxa" w:w="130"/>
              <w:bottom w:type="dxa" w:w="90"/>
              <w:right w:type="dxa" w:w="130"/>
            </w:tcMar>
          </w:tcPr>
          <w:p>
            <w:pPr>
              <w:spacing w:after="0" w:line="260"/>
            </w:pPr>
            <w:r>
              <w:rPr>
                <w:b w:val="false"/>
                <w:bCs w:val="false"/>
                <w:sz w:val="20"/>
                <w:szCs w:val="20"/>
              </w:rPr>
              <w:t xml:space="preserve">ISO/IEC 27001:2022 Annex A</w:t>
            </w:r>
          </w:p>
        </w:tc>
        <w:tc>
          <w:tcPr>
            <w:tcW w:type="dxa" w:w="4360"/>
            <w:tcMar>
              <w:top w:type="dxa" w:w="90"/>
              <w:left w:type="dxa" w:w="130"/>
              <w:bottom w:type="dxa" w:w="90"/>
              <w:right w:type="dxa" w:w="130"/>
            </w:tcMar>
          </w:tcPr>
          <w:p>
            <w:pPr>
              <w:spacing w:after="0" w:line="260"/>
            </w:pPr>
            <w:r>
              <w:rPr>
                <w:b w:val="false"/>
                <w:bCs w:val="false"/>
                <w:sz w:val="20"/>
                <w:szCs w:val="20"/>
              </w:rPr>
              <w:t xml:space="preserve">A.5.9</w:t>
            </w:r>
          </w:p>
        </w:tc>
        <w:tc>
          <w:tcPr>
            <w:tcW w:type="dxa" w:w="2600"/>
            <w:tcMar>
              <w:top w:type="dxa" w:w="90"/>
              <w:left w:type="dxa" w:w="130"/>
              <w:bottom w:type="dxa" w:w="90"/>
              <w:right w:type="dxa" w:w="130"/>
            </w:tcMar>
          </w:tcPr>
          <w:p>
            <w:pPr>
              <w:spacing w:after="0" w:line="260"/>
            </w:pPr>
            <w:r>
              <w:rPr>
                <w:b w:val="false"/>
                <w:bCs w:val="false"/>
                <w:sz w:val="20"/>
                <w:szCs w:val="20"/>
              </w:rPr>
              <w:t xml:space="preserve">Inventory of information and other associated assets</w:t>
            </w:r>
          </w:p>
        </w:tc>
      </w:tr>
      <w:tr>
        <w:trPr>
          <w:tblHeader w:val="false"/>
        </w:trPr>
        <w:tc>
          <w:tcPr>
            <w:tcW w:type="dxa" w:w="2400"/>
            <w:tcMar>
              <w:top w:type="dxa" w:w="90"/>
              <w:left w:type="dxa" w:w="130"/>
              <w:bottom w:type="dxa" w:w="90"/>
              <w:right w:type="dxa" w:w="130"/>
            </w:tcMar>
          </w:tcPr>
          <w:p>
            <w:pPr>
              <w:spacing w:after="0" w:line="260"/>
            </w:pPr>
            <w:r>
              <w:rPr>
                <w:b w:val="false"/>
                <w:bCs w:val="false"/>
                <w:sz w:val="20"/>
                <w:szCs w:val="20"/>
              </w:rPr>
              <w:t xml:space="preserve">ISO/IEC 27001:2022 Annex A</w:t>
            </w:r>
          </w:p>
        </w:tc>
        <w:tc>
          <w:tcPr>
            <w:tcW w:type="dxa" w:w="4360"/>
            <w:tcMar>
              <w:top w:type="dxa" w:w="90"/>
              <w:left w:type="dxa" w:w="130"/>
              <w:bottom w:type="dxa" w:w="90"/>
              <w:right w:type="dxa" w:w="130"/>
            </w:tcMar>
          </w:tcPr>
          <w:p>
            <w:pPr>
              <w:spacing w:after="0" w:line="260"/>
            </w:pPr>
            <w:r>
              <w:rPr>
                <w:b w:val="false"/>
                <w:bCs w:val="false"/>
                <w:sz w:val="20"/>
                <w:szCs w:val="20"/>
              </w:rPr>
              <w:t xml:space="preserve">A.5.12</w:t>
            </w:r>
          </w:p>
        </w:tc>
        <w:tc>
          <w:tcPr>
            <w:tcW w:type="dxa" w:w="2600"/>
            <w:tcMar>
              <w:top w:type="dxa" w:w="90"/>
              <w:left w:type="dxa" w:w="130"/>
              <w:bottom w:type="dxa" w:w="90"/>
              <w:right w:type="dxa" w:w="130"/>
            </w:tcMar>
          </w:tcPr>
          <w:p>
            <w:pPr>
              <w:spacing w:after="0" w:line="260"/>
            </w:pPr>
            <w:r>
              <w:rPr>
                <w:b w:val="false"/>
                <w:bCs w:val="false"/>
                <w:sz w:val="20"/>
                <w:szCs w:val="20"/>
              </w:rPr>
              <w:t xml:space="preserve">Classification of information</w:t>
            </w:r>
          </w:p>
        </w:tc>
      </w:tr>
      <w:tr>
        <w:trPr>
          <w:tblHeader w:val="false"/>
        </w:trPr>
        <w:tc>
          <w:tcPr>
            <w:tcW w:type="dxa" w:w="2400"/>
            <w:tcMar>
              <w:top w:type="dxa" w:w="90"/>
              <w:left w:type="dxa" w:w="130"/>
              <w:bottom w:type="dxa" w:w="90"/>
              <w:right w:type="dxa" w:w="130"/>
            </w:tcMar>
          </w:tcPr>
          <w:p>
            <w:pPr>
              <w:spacing w:after="0" w:line="260"/>
            </w:pPr>
            <w:r>
              <w:rPr>
                <w:b w:val="false"/>
                <w:bCs w:val="false"/>
                <w:sz w:val="20"/>
                <w:szCs w:val="20"/>
              </w:rPr>
              <w:t xml:space="preserve">ISO/IEC 27001:2022 Annex A</w:t>
            </w:r>
          </w:p>
        </w:tc>
        <w:tc>
          <w:tcPr>
            <w:tcW w:type="dxa" w:w="4360"/>
            <w:tcMar>
              <w:top w:type="dxa" w:w="90"/>
              <w:left w:type="dxa" w:w="130"/>
              <w:bottom w:type="dxa" w:w="90"/>
              <w:right w:type="dxa" w:w="130"/>
            </w:tcMar>
          </w:tcPr>
          <w:p>
            <w:pPr>
              <w:spacing w:after="0" w:line="260"/>
            </w:pPr>
            <w:r>
              <w:rPr>
                <w:b w:val="false"/>
                <w:bCs w:val="false"/>
                <w:sz w:val="20"/>
                <w:szCs w:val="20"/>
              </w:rPr>
              <w:t xml:space="preserve">A.5.13</w:t>
            </w:r>
          </w:p>
        </w:tc>
        <w:tc>
          <w:tcPr>
            <w:tcW w:type="dxa" w:w="2600"/>
            <w:tcMar>
              <w:top w:type="dxa" w:w="90"/>
              <w:left w:type="dxa" w:w="130"/>
              <w:bottom w:type="dxa" w:w="90"/>
              <w:right w:type="dxa" w:w="130"/>
            </w:tcMar>
          </w:tcPr>
          <w:p>
            <w:pPr>
              <w:spacing w:after="0" w:line="260"/>
            </w:pPr>
            <w:r>
              <w:rPr>
                <w:b w:val="false"/>
                <w:bCs w:val="false"/>
                <w:sz w:val="20"/>
                <w:szCs w:val="20"/>
              </w:rPr>
              <w:t xml:space="preserve">Labelling of information</w:t>
            </w:r>
          </w:p>
        </w:tc>
      </w:tr>
      <w:tr>
        <w:trPr>
          <w:tblHeader w:val="false"/>
        </w:trPr>
        <w:tc>
          <w:tcPr>
            <w:tcW w:type="dxa" w:w="2400"/>
            <w:tcMar>
              <w:top w:type="dxa" w:w="90"/>
              <w:left w:type="dxa" w:w="130"/>
              <w:bottom w:type="dxa" w:w="90"/>
              <w:right w:type="dxa" w:w="130"/>
            </w:tcMar>
          </w:tcPr>
          <w:p>
            <w:pPr>
              <w:spacing w:after="0" w:line="260"/>
            </w:pPr>
            <w:r>
              <w:rPr>
                <w:b w:val="false"/>
                <w:bCs w:val="false"/>
                <w:sz w:val="20"/>
                <w:szCs w:val="20"/>
              </w:rPr>
              <w:t xml:space="preserve">ISO/IEC 27001:2022 Annex A</w:t>
            </w:r>
          </w:p>
        </w:tc>
        <w:tc>
          <w:tcPr>
            <w:tcW w:type="dxa" w:w="4360"/>
            <w:tcMar>
              <w:top w:type="dxa" w:w="90"/>
              <w:left w:type="dxa" w:w="130"/>
              <w:bottom w:type="dxa" w:w="90"/>
              <w:right w:type="dxa" w:w="130"/>
            </w:tcMar>
          </w:tcPr>
          <w:p>
            <w:pPr>
              <w:spacing w:after="0" w:line="260"/>
            </w:pPr>
            <w:r>
              <w:rPr>
                <w:b w:val="false"/>
                <w:bCs w:val="false"/>
                <w:sz w:val="20"/>
                <w:szCs w:val="20"/>
              </w:rPr>
              <w:t xml:space="preserve">A.5.14</w:t>
            </w:r>
          </w:p>
        </w:tc>
        <w:tc>
          <w:tcPr>
            <w:tcW w:type="dxa" w:w="2600"/>
            <w:tcMar>
              <w:top w:type="dxa" w:w="90"/>
              <w:left w:type="dxa" w:w="130"/>
              <w:bottom w:type="dxa" w:w="90"/>
              <w:right w:type="dxa" w:w="130"/>
            </w:tcMar>
          </w:tcPr>
          <w:p>
            <w:pPr>
              <w:spacing w:after="0" w:line="260"/>
            </w:pPr>
            <w:r>
              <w:rPr>
                <w:b w:val="false"/>
                <w:bCs w:val="false"/>
                <w:sz w:val="20"/>
                <w:szCs w:val="20"/>
              </w:rPr>
              <w:t xml:space="preserve">Information transfer</w:t>
            </w:r>
          </w:p>
        </w:tc>
      </w:tr>
      <w:tr>
        <w:trPr>
          <w:tblHeader w:val="false"/>
        </w:trPr>
        <w:tc>
          <w:tcPr>
            <w:tcW w:type="dxa" w:w="2400"/>
            <w:tcMar>
              <w:top w:type="dxa" w:w="90"/>
              <w:left w:type="dxa" w:w="130"/>
              <w:bottom w:type="dxa" w:w="90"/>
              <w:right w:type="dxa" w:w="130"/>
            </w:tcMar>
          </w:tcPr>
          <w:p>
            <w:pPr>
              <w:spacing w:after="0" w:line="260"/>
            </w:pPr>
            <w:r>
              <w:rPr>
                <w:b w:val="false"/>
                <w:bCs w:val="false"/>
                <w:sz w:val="20"/>
                <w:szCs w:val="20"/>
              </w:rPr>
              <w:t xml:space="preserve">ISO/IEC 27001:2022 Annex A</w:t>
            </w:r>
          </w:p>
        </w:tc>
        <w:tc>
          <w:tcPr>
            <w:tcW w:type="dxa" w:w="4360"/>
            <w:tcMar>
              <w:top w:type="dxa" w:w="90"/>
              <w:left w:type="dxa" w:w="130"/>
              <w:bottom w:type="dxa" w:w="90"/>
              <w:right w:type="dxa" w:w="130"/>
            </w:tcMar>
          </w:tcPr>
          <w:p>
            <w:pPr>
              <w:spacing w:after="0" w:line="260"/>
            </w:pPr>
            <w:r>
              <w:rPr>
                <w:b w:val="false"/>
                <w:bCs w:val="false"/>
                <w:sz w:val="20"/>
                <w:szCs w:val="20"/>
              </w:rPr>
              <w:t xml:space="preserve">A.5.33, A.5.34</w:t>
            </w:r>
          </w:p>
        </w:tc>
        <w:tc>
          <w:tcPr>
            <w:tcW w:type="dxa" w:w="2600"/>
            <w:tcMar>
              <w:top w:type="dxa" w:w="90"/>
              <w:left w:type="dxa" w:w="130"/>
              <w:bottom w:type="dxa" w:w="90"/>
              <w:right w:type="dxa" w:w="130"/>
            </w:tcMar>
          </w:tcPr>
          <w:p>
            <w:pPr>
              <w:spacing w:after="0" w:line="260"/>
            </w:pPr>
            <w:r>
              <w:rPr>
                <w:b w:val="false"/>
                <w:bCs w:val="false"/>
                <w:sz w:val="20"/>
                <w:szCs w:val="20"/>
              </w:rPr>
              <w:t xml:space="preserve">Protection of records; privacy and protection of personal data</w:t>
            </w:r>
          </w:p>
        </w:tc>
      </w:tr>
      <w:tr>
        <w:trPr>
          <w:tblHeader w:val="false"/>
        </w:trPr>
        <w:tc>
          <w:tcPr>
            <w:tcW w:type="dxa" w:w="2400"/>
            <w:tcMar>
              <w:top w:type="dxa" w:w="90"/>
              <w:left w:type="dxa" w:w="130"/>
              <w:bottom w:type="dxa" w:w="90"/>
              <w:right w:type="dxa" w:w="130"/>
            </w:tcMar>
          </w:tcPr>
          <w:p>
            <w:pPr>
              <w:spacing w:after="0" w:line="260"/>
            </w:pPr>
            <w:r>
              <w:rPr>
                <w:b w:val="false"/>
                <w:bCs w:val="false"/>
                <w:sz w:val="20"/>
                <w:szCs w:val="20"/>
              </w:rPr>
              <w:t xml:space="preserve">ISO/IEC 27001:2022 Annex A</w:t>
            </w:r>
          </w:p>
        </w:tc>
        <w:tc>
          <w:tcPr>
            <w:tcW w:type="dxa" w:w="4360"/>
            <w:tcMar>
              <w:top w:type="dxa" w:w="90"/>
              <w:left w:type="dxa" w:w="130"/>
              <w:bottom w:type="dxa" w:w="90"/>
              <w:right w:type="dxa" w:w="130"/>
            </w:tcMar>
          </w:tcPr>
          <w:p>
            <w:pPr>
              <w:spacing w:after="0" w:line="260"/>
            </w:pPr>
            <w:r>
              <w:rPr>
                <w:b w:val="false"/>
                <w:bCs w:val="false"/>
                <w:sz w:val="20"/>
                <w:szCs w:val="20"/>
              </w:rPr>
              <w:t xml:space="preserve">A.7.7, A.7.10, A.7.14</w:t>
            </w:r>
          </w:p>
        </w:tc>
        <w:tc>
          <w:tcPr>
            <w:tcW w:type="dxa" w:w="2600"/>
            <w:tcMar>
              <w:top w:type="dxa" w:w="90"/>
              <w:left w:type="dxa" w:w="130"/>
              <w:bottom w:type="dxa" w:w="90"/>
              <w:right w:type="dxa" w:w="130"/>
            </w:tcMar>
          </w:tcPr>
          <w:p>
            <w:pPr>
              <w:spacing w:after="0" w:line="260"/>
            </w:pPr>
            <w:r>
              <w:rPr>
                <w:b w:val="false"/>
                <w:bCs w:val="false"/>
                <w:sz w:val="20"/>
                <w:szCs w:val="20"/>
              </w:rPr>
              <w:t xml:space="preserve">Clear desk and clear screen; storage media; secure disposal of equipment</w:t>
            </w:r>
          </w:p>
        </w:tc>
      </w:tr>
      <w:tr>
        <w:trPr>
          <w:tblHeader w:val="false"/>
        </w:trPr>
        <w:tc>
          <w:tcPr>
            <w:tcW w:type="dxa" w:w="2400"/>
            <w:tcMar>
              <w:top w:type="dxa" w:w="90"/>
              <w:left w:type="dxa" w:w="130"/>
              <w:bottom w:type="dxa" w:w="90"/>
              <w:right w:type="dxa" w:w="130"/>
            </w:tcMar>
          </w:tcPr>
          <w:p>
            <w:pPr>
              <w:spacing w:after="0" w:line="260"/>
            </w:pPr>
            <w:r>
              <w:rPr>
                <w:b w:val="false"/>
                <w:bCs w:val="false"/>
                <w:sz w:val="20"/>
                <w:szCs w:val="20"/>
              </w:rPr>
              <w:t xml:space="preserve">ISO/IEC 27001:2022 Annex A</w:t>
            </w:r>
          </w:p>
        </w:tc>
        <w:tc>
          <w:tcPr>
            <w:tcW w:type="dxa" w:w="4360"/>
            <w:tcMar>
              <w:top w:type="dxa" w:w="90"/>
              <w:left w:type="dxa" w:w="130"/>
              <w:bottom w:type="dxa" w:w="90"/>
              <w:right w:type="dxa" w:w="130"/>
            </w:tcMar>
          </w:tcPr>
          <w:p>
            <w:pPr>
              <w:spacing w:after="0" w:line="260"/>
            </w:pPr>
            <w:r>
              <w:rPr>
                <w:b w:val="false"/>
                <w:bCs w:val="false"/>
                <w:sz w:val="20"/>
                <w:szCs w:val="20"/>
              </w:rPr>
              <w:t xml:space="preserve">A.8.10, A.8.11, A.8.12, A.8.24</w:t>
            </w:r>
          </w:p>
        </w:tc>
        <w:tc>
          <w:tcPr>
            <w:tcW w:type="dxa" w:w="2600"/>
            <w:tcMar>
              <w:top w:type="dxa" w:w="90"/>
              <w:left w:type="dxa" w:w="130"/>
              <w:bottom w:type="dxa" w:w="90"/>
              <w:right w:type="dxa" w:w="130"/>
            </w:tcMar>
          </w:tcPr>
          <w:p>
            <w:pPr>
              <w:spacing w:after="0" w:line="260"/>
            </w:pPr>
            <w:r>
              <w:rPr>
                <w:b w:val="false"/>
                <w:bCs w:val="false"/>
                <w:sz w:val="20"/>
                <w:szCs w:val="20"/>
              </w:rPr>
              <w:t xml:space="preserve">Information deletion; data masking; data leakage prevention; use of cryptography</w:t>
            </w:r>
          </w:p>
        </w:tc>
      </w:tr>
      <w:tr>
        <w:trPr>
          <w:tblHeader w:val="false"/>
        </w:trPr>
        <w:tc>
          <w:tcPr>
            <w:tcW w:type="dxa" w:w="2400"/>
            <w:tcMar>
              <w:top w:type="dxa" w:w="90"/>
              <w:left w:type="dxa" w:w="130"/>
              <w:bottom w:type="dxa" w:w="90"/>
              <w:right w:type="dxa" w:w="130"/>
            </w:tcMar>
          </w:tcPr>
          <w:p>
            <w:pPr>
              <w:spacing w:after="0" w:line="260"/>
            </w:pPr>
            <w:r>
              <w:rPr>
                <w:b w:val="false"/>
                <w:bCs w:val="false"/>
                <w:sz w:val="20"/>
                <w:szCs w:val="20"/>
              </w:rPr>
              <w:t xml:space="preserve">NIST CSF 2.0</w:t>
            </w:r>
          </w:p>
        </w:tc>
        <w:tc>
          <w:tcPr>
            <w:tcW w:type="dxa" w:w="4360"/>
            <w:tcMar>
              <w:top w:type="dxa" w:w="90"/>
              <w:left w:type="dxa" w:w="130"/>
              <w:bottom w:type="dxa" w:w="90"/>
              <w:right w:type="dxa" w:w="130"/>
            </w:tcMar>
          </w:tcPr>
          <w:p>
            <w:pPr>
              <w:spacing w:after="0" w:line="260"/>
            </w:pPr>
            <w:r>
              <w:rPr>
                <w:b w:val="false"/>
                <w:bCs w:val="false"/>
                <w:sz w:val="20"/>
                <w:szCs w:val="20"/>
              </w:rPr>
              <w:t xml:space="preserve">ID.AM-07, PR.DS-01, PR.DS-02, PR.DS-10</w:t>
            </w:r>
          </w:p>
        </w:tc>
        <w:tc>
          <w:tcPr>
            <w:tcW w:type="dxa" w:w="2600"/>
            <w:tcMar>
              <w:top w:type="dxa" w:w="90"/>
              <w:left w:type="dxa" w:w="130"/>
              <w:bottom w:type="dxa" w:w="90"/>
              <w:right w:type="dxa" w:w="130"/>
            </w:tcMar>
          </w:tcPr>
          <w:p>
            <w:pPr>
              <w:spacing w:after="0" w:line="260"/>
            </w:pPr>
            <w:r>
              <w:rPr>
                <w:b w:val="false"/>
                <w:bCs w:val="false"/>
                <w:sz w:val="20"/>
                <w:szCs w:val="20"/>
              </w:rPr>
              <w:t xml:space="preserve">Data inventory and data security</w:t>
            </w:r>
          </w:p>
        </w:tc>
      </w:tr>
      <w:tr>
        <w:trPr>
          <w:tblHeader w:val="false"/>
        </w:trPr>
        <w:tc>
          <w:tcPr>
            <w:tcW w:type="dxa" w:w="2400"/>
            <w:tcMar>
              <w:top w:type="dxa" w:w="90"/>
              <w:left w:type="dxa" w:w="130"/>
              <w:bottom w:type="dxa" w:w="90"/>
              <w:right w:type="dxa" w:w="130"/>
            </w:tcMar>
          </w:tcPr>
          <w:p>
            <w:pPr>
              <w:spacing w:after="0" w:line="260"/>
            </w:pPr>
            <w:r>
              <w:rPr>
                <w:b w:val="false"/>
                <w:bCs w:val="false"/>
                <w:sz w:val="20"/>
                <w:szCs w:val="20"/>
              </w:rPr>
              <w:t xml:space="preserve">PCI DSS v4.0</w:t>
            </w:r>
          </w:p>
        </w:tc>
        <w:tc>
          <w:tcPr>
            <w:tcW w:type="dxa" w:w="4360"/>
            <w:tcMar>
              <w:top w:type="dxa" w:w="90"/>
              <w:left w:type="dxa" w:w="130"/>
              <w:bottom w:type="dxa" w:w="90"/>
              <w:right w:type="dxa" w:w="130"/>
            </w:tcMar>
          </w:tcPr>
          <w:p>
            <w:pPr>
              <w:spacing w:after="0" w:line="260"/>
            </w:pPr>
            <w:r>
              <w:rPr>
                <w:b w:val="false"/>
                <w:bCs w:val="false"/>
                <w:sz w:val="20"/>
                <w:szCs w:val="20"/>
              </w:rPr>
              <w:t xml:space="preserve">Requirements 3, 4, 9.4</w:t>
            </w:r>
          </w:p>
        </w:tc>
        <w:tc>
          <w:tcPr>
            <w:tcW w:type="dxa" w:w="2600"/>
            <w:tcMar>
              <w:top w:type="dxa" w:w="90"/>
              <w:left w:type="dxa" w:w="130"/>
              <w:bottom w:type="dxa" w:w="90"/>
              <w:right w:type="dxa" w:w="130"/>
            </w:tcMar>
          </w:tcPr>
          <w:p>
            <w:pPr>
              <w:spacing w:after="0" w:line="260"/>
            </w:pPr>
            <w:r>
              <w:rPr>
                <w:b w:val="false"/>
                <w:bCs w:val="false"/>
                <w:sz w:val="20"/>
                <w:szCs w:val="20"/>
              </w:rPr>
              <w:t xml:space="preserve">Protection of stored account data, transmission, media handling</w:t>
            </w:r>
          </w:p>
        </w:tc>
      </w:tr>
      <w:tr>
        <w:trPr>
          <w:tblHeader w:val="false"/>
        </w:trPr>
        <w:tc>
          <w:tcPr>
            <w:tcW w:type="dxa" w:w="2400"/>
            <w:tcMar>
              <w:top w:type="dxa" w:w="90"/>
              <w:left w:type="dxa" w:w="130"/>
              <w:bottom w:type="dxa" w:w="90"/>
              <w:right w:type="dxa" w:w="130"/>
            </w:tcMar>
          </w:tcPr>
          <w:p>
            <w:pPr>
              <w:spacing w:after="0" w:line="260"/>
            </w:pPr>
            <w:r>
              <w:rPr>
                <w:b w:val="false"/>
                <w:bCs w:val="false"/>
                <w:sz w:val="20"/>
                <w:szCs w:val="20"/>
              </w:rPr>
              <w:t xml:space="preserve">UK GDPR</w:t>
            </w:r>
          </w:p>
        </w:tc>
        <w:tc>
          <w:tcPr>
            <w:tcW w:type="dxa" w:w="4360"/>
            <w:tcMar>
              <w:top w:type="dxa" w:w="90"/>
              <w:left w:type="dxa" w:w="130"/>
              <w:bottom w:type="dxa" w:w="90"/>
              <w:right w:type="dxa" w:w="130"/>
            </w:tcMar>
          </w:tcPr>
          <w:p>
            <w:pPr>
              <w:spacing w:after="0" w:line="260"/>
            </w:pPr>
            <w:r>
              <w:rPr>
                <w:b w:val="false"/>
                <w:bCs w:val="false"/>
                <w:sz w:val="20"/>
                <w:szCs w:val="20"/>
              </w:rPr>
              <w:t xml:space="preserve">Articles 5, 15, 17, 25, 32, 44–49</w:t>
            </w:r>
          </w:p>
        </w:tc>
        <w:tc>
          <w:tcPr>
            <w:tcW w:type="dxa" w:w="2600"/>
            <w:tcMar>
              <w:top w:type="dxa" w:w="90"/>
              <w:left w:type="dxa" w:w="130"/>
              <w:bottom w:type="dxa" w:w="90"/>
              <w:right w:type="dxa" w:w="130"/>
            </w:tcMar>
          </w:tcPr>
          <w:p>
            <w:pPr>
              <w:spacing w:after="0" w:line="260"/>
            </w:pPr>
            <w:r>
              <w:rPr>
                <w:b w:val="false"/>
                <w:bCs w:val="false"/>
                <w:sz w:val="20"/>
                <w:szCs w:val="20"/>
              </w:rPr>
              <w:t xml:space="preserve">Principles, access and erasure rights, design, security, transfers</w:t>
            </w:r>
          </w:p>
        </w:tc>
      </w:tr>
      <w:tr>
        <w:trPr>
          <w:tblHeader w:val="false"/>
        </w:trPr>
        <w:tc>
          <w:tcPr>
            <w:tcW w:type="dxa" w:w="2400"/>
            <w:tcMar>
              <w:top w:type="dxa" w:w="90"/>
              <w:left w:type="dxa" w:w="130"/>
              <w:bottom w:type="dxa" w:w="90"/>
              <w:right w:type="dxa" w:w="130"/>
            </w:tcMar>
          </w:tcPr>
          <w:p>
            <w:pPr>
              <w:spacing w:after="0" w:line="260"/>
            </w:pPr>
            <w:r>
              <w:rPr>
                <w:b w:val="false"/>
                <w:bCs w:val="false"/>
                <w:sz w:val="20"/>
                <w:szCs w:val="20"/>
              </w:rPr>
              <w:t xml:space="preserve">Bank Secrecy Act</w:t>
            </w:r>
          </w:p>
        </w:tc>
        <w:tc>
          <w:tcPr>
            <w:tcW w:type="dxa" w:w="4360"/>
            <w:tcMar>
              <w:top w:type="dxa" w:w="90"/>
              <w:left w:type="dxa" w:w="130"/>
              <w:bottom w:type="dxa" w:w="90"/>
              <w:right w:type="dxa" w:w="130"/>
            </w:tcMar>
          </w:tcPr>
          <w:p>
            <w:pPr>
              <w:spacing w:after="0" w:line="260"/>
            </w:pPr>
            <w:r>
              <w:rPr>
                <w:b w:val="false"/>
                <w:bCs w:val="false"/>
                <w:sz w:val="20"/>
                <w:szCs w:val="20"/>
              </w:rPr>
              <w:t xml:space="preserve">31 CFR Chapter X record-keeping</w:t>
            </w:r>
          </w:p>
        </w:tc>
        <w:tc>
          <w:tcPr>
            <w:tcW w:type="dxa" w:w="2600"/>
            <w:tcMar>
              <w:top w:type="dxa" w:w="90"/>
              <w:left w:type="dxa" w:w="130"/>
              <w:bottom w:type="dxa" w:w="90"/>
              <w:right w:type="dxa" w:w="130"/>
            </w:tcMar>
          </w:tcPr>
          <w:p>
            <w:pPr>
              <w:spacing w:after="0" w:line="260"/>
            </w:pPr>
            <w:r>
              <w:rPr>
                <w:b w:val="false"/>
                <w:bCs w:val="false"/>
                <w:sz w:val="20"/>
                <w:szCs w:val="20"/>
              </w:rPr>
              <w:t xml:space="preserve">Statutory retention of transaction and customer records</w:t>
            </w:r>
          </w:p>
        </w:tc>
      </w:tr>
      <w:tr>
        <w:trPr>
          <w:tblHeader w:val="false"/>
        </w:trPr>
        <w:tc>
          <w:tcPr>
            <w:tcW w:type="dxa" w:w="2400"/>
            <w:tcMar>
              <w:top w:type="dxa" w:w="90"/>
              <w:left w:type="dxa" w:w="130"/>
              <w:bottom w:type="dxa" w:w="90"/>
              <w:right w:type="dxa" w:w="130"/>
            </w:tcMar>
          </w:tcPr>
          <w:p>
            <w:pPr>
              <w:spacing w:after="0" w:line="260"/>
            </w:pPr>
            <w:r>
              <w:rPr>
                <w:b w:val="false"/>
                <w:bCs w:val="false"/>
                <w:sz w:val="20"/>
                <w:szCs w:val="20"/>
              </w:rPr>
              <w:t xml:space="preserve">Proceeds of Crime Act 2002 / UK MLR 2017</w:t>
            </w:r>
          </w:p>
        </w:tc>
        <w:tc>
          <w:tcPr>
            <w:tcW w:type="dxa" w:w="4360"/>
            <w:tcMar>
              <w:top w:type="dxa" w:w="90"/>
              <w:left w:type="dxa" w:w="130"/>
              <w:bottom w:type="dxa" w:w="90"/>
              <w:right w:type="dxa" w:w="130"/>
            </w:tcMar>
          </w:tcPr>
          <w:p>
            <w:pPr>
              <w:spacing w:after="0" w:line="260"/>
            </w:pPr>
            <w:r>
              <w:rPr>
                <w:b w:val="false"/>
                <w:bCs w:val="false"/>
                <w:sz w:val="20"/>
                <w:szCs w:val="20"/>
              </w:rPr>
              <w:t xml:space="preserve">Tipping-off and record-keeping</w:t>
            </w:r>
          </w:p>
        </w:tc>
        <w:tc>
          <w:tcPr>
            <w:tcW w:type="dxa" w:w="2600"/>
            <w:tcMar>
              <w:top w:type="dxa" w:w="90"/>
              <w:left w:type="dxa" w:w="130"/>
              <w:bottom w:type="dxa" w:w="90"/>
              <w:right w:type="dxa" w:w="130"/>
            </w:tcMar>
          </w:tcPr>
          <w:p>
            <w:pPr>
              <w:spacing w:after="0" w:line="260"/>
            </w:pPr>
            <w:r>
              <w:rPr>
                <w:b w:val="false"/>
                <w:bCs w:val="false"/>
                <w:sz w:val="20"/>
                <w:szCs w:val="20"/>
              </w:rPr>
              <w:t xml:space="preserve">Restricted — Controlled Access handling regime</w:t>
            </w:r>
          </w:p>
        </w:tc>
      </w:tr>
      <w:tr>
        <w:trPr>
          <w:tblHeader w:val="false"/>
        </w:trPr>
        <w:tc>
          <w:tcPr>
            <w:tcW w:type="dxa" w:w="2400"/>
            <w:tcMar>
              <w:top w:type="dxa" w:w="90"/>
              <w:left w:type="dxa" w:w="130"/>
              <w:bottom w:type="dxa" w:w="90"/>
              <w:right w:type="dxa" w:w="130"/>
            </w:tcMar>
          </w:tcPr>
          <w:p>
            <w:pPr>
              <w:spacing w:after="0" w:line="260"/>
            </w:pPr>
            <w:r>
              <w:rPr>
                <w:b w:val="false"/>
                <w:bCs w:val="false"/>
                <w:sz w:val="20"/>
                <w:szCs w:val="20"/>
              </w:rPr>
              <w:t xml:space="preserve">OFAC</w:t>
            </w:r>
          </w:p>
        </w:tc>
        <w:tc>
          <w:tcPr>
            <w:tcW w:type="dxa" w:w="4360"/>
            <w:tcMar>
              <w:top w:type="dxa" w:w="90"/>
              <w:left w:type="dxa" w:w="130"/>
              <w:bottom w:type="dxa" w:w="90"/>
              <w:right w:type="dxa" w:w="130"/>
            </w:tcMar>
          </w:tcPr>
          <w:p>
            <w:pPr>
              <w:spacing w:after="0" w:line="260"/>
            </w:pPr>
            <w:r>
              <w:rPr>
                <w:b w:val="false"/>
                <w:bCs w:val="false"/>
                <w:sz w:val="20"/>
                <w:szCs w:val="20"/>
              </w:rPr>
              <w:t xml:space="preserve">Sanctions record-keeping</w:t>
            </w:r>
          </w:p>
        </w:tc>
        <w:tc>
          <w:tcPr>
            <w:tcW w:type="dxa" w:w="2600"/>
            <w:tcMar>
              <w:top w:type="dxa" w:w="90"/>
              <w:left w:type="dxa" w:w="130"/>
              <w:bottom w:type="dxa" w:w="90"/>
              <w:right w:type="dxa" w:w="130"/>
            </w:tcMar>
          </w:tcPr>
          <w:p>
            <w:pPr>
              <w:spacing w:after="0" w:line="260"/>
            </w:pPr>
            <w:r>
              <w:rPr>
                <w:b w:val="false"/>
                <w:bCs w:val="false"/>
                <w:sz w:val="20"/>
                <w:szCs w:val="20"/>
              </w:rPr>
              <w:t xml:space="preserve">Retention and confidentiality of screening and blocking records</w:t>
            </w:r>
          </w:p>
        </w:tc>
      </w:tr>
      <w:tr>
        <w:trPr>
          <w:tblHeader w:val="false"/>
        </w:trPr>
        <w:tc>
          <w:tcPr>
            <w:tcW w:type="dxa" w:w="2400"/>
            <w:tcMar>
              <w:top w:type="dxa" w:w="90"/>
              <w:left w:type="dxa" w:w="130"/>
              <w:bottom w:type="dxa" w:w="90"/>
              <w:right w:type="dxa" w:w="130"/>
            </w:tcMar>
          </w:tcPr>
          <w:p>
            <w:pPr>
              <w:spacing w:after="0" w:line="260"/>
            </w:pPr>
            <w:r>
              <w:rPr>
                <w:b w:val="false"/>
                <w:bCs w:val="false"/>
                <w:sz w:val="20"/>
                <w:szCs w:val="20"/>
              </w:rPr>
              <w:t xml:space="preserve">FCA (UK entity)</w:t>
            </w:r>
          </w:p>
        </w:tc>
        <w:tc>
          <w:tcPr>
            <w:tcW w:type="dxa" w:w="4360"/>
            <w:tcMar>
              <w:top w:type="dxa" w:w="90"/>
              <w:left w:type="dxa" w:w="130"/>
              <w:bottom w:type="dxa" w:w="90"/>
              <w:right w:type="dxa" w:w="130"/>
            </w:tcMar>
          </w:tcPr>
          <w:p>
            <w:pPr>
              <w:spacing w:after="0" w:line="260"/>
            </w:pPr>
            <w:r>
              <w:rPr>
                <w:b w:val="false"/>
                <w:bCs w:val="false"/>
                <w:sz w:val="20"/>
                <w:szCs w:val="20"/>
              </w:rPr>
              <w:t xml:space="preserve">SYSC 10A and sourcebook retention</w:t>
            </w:r>
          </w:p>
        </w:tc>
        <w:tc>
          <w:tcPr>
            <w:tcW w:type="dxa" w:w="2600"/>
            <w:tcMar>
              <w:top w:type="dxa" w:w="90"/>
              <w:left w:type="dxa" w:w="130"/>
              <w:bottom w:type="dxa" w:w="90"/>
              <w:right w:type="dxa" w:w="130"/>
            </w:tcMar>
          </w:tcPr>
          <w:p>
            <w:pPr>
              <w:spacing w:after="0" w:line="260"/>
            </w:pPr>
            <w:r>
              <w:rPr>
                <w:b w:val="false"/>
                <w:bCs w:val="false"/>
                <w:sz w:val="20"/>
                <w:szCs w:val="20"/>
              </w:rPr>
              <w:t xml:space="preserve">Retention of regulated-activity records</w:t>
            </w:r>
          </w:p>
        </w:tc>
      </w:tr>
    </w:tbl>
    <w:p>
      <w:pPr>
        <w:pStyle w:val="Heading1"/>
        <w:spacing w:after="160" w:before="320"/>
      </w:pPr>
      <w:r>
        <w:t xml:space="preserve">14A. Approval</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3200"/>
        <w:gridCol w:w="2200"/>
        <w:gridCol w:w="1560"/>
      </w:tblGrid>
      <w:tr>
        <w:trPr>
          <w:tblHeader/>
        </w:trPr>
        <w:tc>
          <w:tcPr>
            <w:tcW w:type="dxa" w:w="2400"/>
            <w:shd w:fill="E7EAF0" w:color="auto" w:val="clear"/>
            <w:tcMar>
              <w:top w:type="dxa" w:w="90"/>
              <w:left w:type="dxa" w:w="130"/>
              <w:bottom w:type="dxa" w:w="90"/>
              <w:right w:type="dxa" w:w="130"/>
            </w:tcMar>
          </w:tcPr>
          <w:p>
            <w:pPr>
              <w:spacing w:after="0" w:line="260"/>
            </w:pPr>
            <w:r>
              <w:rPr>
                <w:b/>
                <w:bCs/>
                <w:sz w:val="20"/>
                <w:szCs w:val="20"/>
              </w:rPr>
              <w:t xml:space="preserve">Role</w:t>
            </w:r>
          </w:p>
        </w:tc>
        <w:tc>
          <w:tcPr>
            <w:tcW w:type="dxa" w:w="3200"/>
            <w:shd w:fill="E7EAF0" w:color="auto" w:val="clear"/>
            <w:tcMar>
              <w:top w:type="dxa" w:w="90"/>
              <w:left w:type="dxa" w:w="130"/>
              <w:bottom w:type="dxa" w:w="90"/>
              <w:right w:type="dxa" w:w="130"/>
            </w:tcMar>
          </w:tcPr>
          <w:p>
            <w:pPr>
              <w:spacing w:after="0" w:line="260"/>
            </w:pPr>
            <w:r>
              <w:rPr>
                <w:b/>
                <w:bCs/>
                <w:sz w:val="20"/>
                <w:szCs w:val="20"/>
              </w:rPr>
              <w:t xml:space="preserve">Name</w:t>
            </w:r>
          </w:p>
        </w:tc>
        <w:tc>
          <w:tcPr>
            <w:tcW w:type="dxa" w:w="2200"/>
            <w:shd w:fill="E7EAF0" w:color="auto" w:val="clear"/>
            <w:tcMar>
              <w:top w:type="dxa" w:w="90"/>
              <w:left w:type="dxa" w:w="130"/>
              <w:bottom w:type="dxa" w:w="90"/>
              <w:right w:type="dxa" w:w="130"/>
            </w:tcMar>
          </w:tcPr>
          <w:p>
            <w:pPr>
              <w:spacing w:after="0" w:line="260"/>
            </w:pPr>
            <w:r>
              <w:rPr>
                <w:b/>
                <w:bCs/>
                <w:sz w:val="20"/>
                <w:szCs w:val="20"/>
              </w:rPr>
              <w:t xml:space="preserve">Signature</w:t>
            </w:r>
          </w:p>
        </w:tc>
        <w:tc>
          <w:tcPr>
            <w:tcW w:type="dxa" w:w="1560"/>
            <w:shd w:fill="E7EAF0" w:color="auto" w:val="clear"/>
            <w:tcMar>
              <w:top w:type="dxa" w:w="90"/>
              <w:left w:type="dxa" w:w="130"/>
              <w:bottom w:type="dxa" w:w="90"/>
              <w:right w:type="dxa" w:w="130"/>
            </w:tcMar>
          </w:tcPr>
          <w:p>
            <w:pPr>
              <w:spacing w:after="0" w:line="260"/>
            </w:pPr>
            <w:r>
              <w:rPr>
                <w:b/>
                <w:bCs/>
                <w:sz w:val="20"/>
                <w:szCs w:val="20"/>
              </w:rPr>
              <w:t xml:space="preserve">Date</w:t>
            </w:r>
          </w:p>
        </w:tc>
      </w:tr>
      <w:tr>
        <w:trPr>
          <w:tblHeader w:val="false"/>
        </w:trPr>
        <w:tc>
          <w:tcPr>
            <w:tcW w:type="dxa" w:w="2400"/>
            <w:tcMar>
              <w:top w:type="dxa" w:w="90"/>
              <w:left w:type="dxa" w:w="130"/>
              <w:bottom w:type="dxa" w:w="90"/>
              <w:right w:type="dxa" w:w="130"/>
            </w:tcMar>
          </w:tcPr>
          <w:p>
            <w:pPr>
              <w:spacing w:after="0" w:line="260"/>
            </w:pPr>
            <w:r>
              <w:rPr>
                <w:b w:val="false"/>
                <w:bCs w:val="false"/>
                <w:sz w:val="20"/>
                <w:szCs w:val="20"/>
              </w:rPr>
              <w:t xml:space="preserve">Prepared by</w:t>
            </w:r>
          </w:p>
        </w:tc>
        <w:tc>
          <w:tcPr>
            <w:tcW w:type="dxa" w:w="3200"/>
            <w:tcMar>
              <w:top w:type="dxa" w:w="90"/>
              <w:left w:type="dxa" w:w="130"/>
              <w:bottom w:type="dxa" w:w="90"/>
              <w:right w:type="dxa" w:w="130"/>
            </w:tcMar>
          </w:tcPr>
          <w:p>
            <w:pPr>
              <w:spacing w:after="0" w:line="260"/>
            </w:pPr>
            <w:r>
              <w:rPr>
                <w:b w:val="false"/>
                <w:bCs w:val="false"/>
                <w:sz w:val="20"/>
                <w:szCs w:val="20"/>
              </w:rPr>
              <w:t xml:space="preserve">Claire Bennett, Head of Information Governance</w:t>
            </w:r>
          </w:p>
        </w:tc>
        <w:tc>
          <w:tcPr>
            <w:tcW w:type="dxa" w:w="2200"/>
            <w:tcMar>
              <w:top w:type="dxa" w:w="90"/>
              <w:left w:type="dxa" w:w="130"/>
              <w:bottom w:type="dxa" w:w="90"/>
              <w:right w:type="dxa" w:w="130"/>
            </w:tcMar>
          </w:tcPr>
          <w:p>
            <w:pPr>
              <w:spacing w:after="0" w:line="260"/>
            </w:pPr>
            <w:r>
              <w:rPr>
                <w:b w:val="false"/>
                <w:bCs w:val="false"/>
                <w:sz w:val="20"/>
                <w:szCs w:val="20"/>
              </w:rPr>
              <w:t xml:space="preserve"/>
            </w:r>
          </w:p>
        </w:tc>
        <w:tc>
          <w:tcPr>
            <w:tcW w:type="dxa" w:w="1560"/>
            <w:tcMar>
              <w:top w:type="dxa" w:w="90"/>
              <w:left w:type="dxa" w:w="130"/>
              <w:bottom w:type="dxa" w:w="90"/>
              <w:right w:type="dxa" w:w="130"/>
            </w:tcMar>
          </w:tcPr>
          <w:p>
            <w:pPr>
              <w:spacing w:after="0" w:line="260"/>
            </w:pPr>
            <w:r>
              <w:rPr>
                <w:b w:val="false"/>
                <w:bCs w:val="false"/>
                <w:sz w:val="20"/>
                <w:szCs w:val="20"/>
              </w:rPr>
              <w:t xml:space="preserve"/>
            </w:r>
          </w:p>
        </w:tc>
      </w:tr>
      <w:tr>
        <w:trPr>
          <w:tblHeader w:val="false"/>
        </w:trPr>
        <w:tc>
          <w:tcPr>
            <w:tcW w:type="dxa" w:w="2400"/>
            <w:tcMar>
              <w:top w:type="dxa" w:w="90"/>
              <w:left w:type="dxa" w:w="130"/>
              <w:bottom w:type="dxa" w:w="90"/>
              <w:right w:type="dxa" w:w="130"/>
            </w:tcMar>
          </w:tcPr>
          <w:p>
            <w:pPr>
              <w:spacing w:after="0" w:line="260"/>
            </w:pPr>
            <w:r>
              <w:rPr>
                <w:b w:val="false"/>
                <w:bCs w:val="false"/>
                <w:sz w:val="20"/>
                <w:szCs w:val="20"/>
              </w:rPr>
              <w:t xml:space="preserve">Financial crime review</w:t>
            </w:r>
          </w:p>
        </w:tc>
        <w:tc>
          <w:tcPr>
            <w:tcW w:type="dxa" w:w="3200"/>
            <w:tcMar>
              <w:top w:type="dxa" w:w="90"/>
              <w:left w:type="dxa" w:w="130"/>
              <w:bottom w:type="dxa" w:w="90"/>
              <w:right w:type="dxa" w:w="130"/>
            </w:tcMar>
          </w:tcPr>
          <w:p>
            <w:pPr>
              <w:spacing w:after="0" w:line="260"/>
            </w:pPr>
            <w:r>
              <w:rPr>
                <w:b w:val="false"/>
                <w:bCs w:val="false"/>
                <w:sz w:val="20"/>
                <w:szCs w:val="20"/>
              </w:rPr>
              <w:t xml:space="preserve">Jonathan Reyes, General Counsel — sections 3, 4.1 and 8.1</w:t>
            </w:r>
          </w:p>
        </w:tc>
        <w:tc>
          <w:tcPr>
            <w:tcW w:type="dxa" w:w="2200"/>
            <w:tcMar>
              <w:top w:type="dxa" w:w="90"/>
              <w:left w:type="dxa" w:w="130"/>
              <w:bottom w:type="dxa" w:w="90"/>
              <w:right w:type="dxa" w:w="130"/>
            </w:tcMar>
          </w:tcPr>
          <w:p>
            <w:pPr>
              <w:spacing w:after="0" w:line="260"/>
            </w:pPr>
            <w:r>
              <w:rPr>
                <w:b w:val="false"/>
                <w:bCs w:val="false"/>
                <w:sz w:val="20"/>
                <w:szCs w:val="20"/>
              </w:rPr>
              <w:t xml:space="preserve"/>
            </w:r>
          </w:p>
        </w:tc>
        <w:tc>
          <w:tcPr>
            <w:tcW w:type="dxa" w:w="1560"/>
            <w:tcMar>
              <w:top w:type="dxa" w:w="90"/>
              <w:left w:type="dxa" w:w="130"/>
              <w:bottom w:type="dxa" w:w="90"/>
              <w:right w:type="dxa" w:w="130"/>
            </w:tcMar>
          </w:tcPr>
          <w:p>
            <w:pPr>
              <w:spacing w:after="0" w:line="260"/>
            </w:pPr>
            <w:r>
              <w:rPr>
                <w:b w:val="false"/>
                <w:bCs w:val="false"/>
                <w:sz w:val="20"/>
                <w:szCs w:val="20"/>
              </w:rPr>
              <w:t xml:space="preserve"/>
            </w:r>
          </w:p>
        </w:tc>
      </w:tr>
      <w:tr>
        <w:trPr>
          <w:tblHeader w:val="false"/>
        </w:trPr>
        <w:tc>
          <w:tcPr>
            <w:tcW w:type="dxa" w:w="2400"/>
            <w:tcMar>
              <w:top w:type="dxa" w:w="90"/>
              <w:left w:type="dxa" w:w="130"/>
              <w:bottom w:type="dxa" w:w="90"/>
              <w:right w:type="dxa" w:w="130"/>
            </w:tcMar>
          </w:tcPr>
          <w:p>
            <w:pPr>
              <w:spacing w:after="0" w:line="260"/>
            </w:pPr>
            <w:r>
              <w:rPr>
                <w:b w:val="false"/>
                <w:bCs w:val="false"/>
                <w:sz w:val="20"/>
                <w:szCs w:val="20"/>
              </w:rPr>
              <w:t xml:space="preserve">Data protection review</w:t>
            </w:r>
          </w:p>
        </w:tc>
        <w:tc>
          <w:tcPr>
            <w:tcW w:type="dxa" w:w="3200"/>
            <w:tcMar>
              <w:top w:type="dxa" w:w="90"/>
              <w:left w:type="dxa" w:w="130"/>
              <w:bottom w:type="dxa" w:w="90"/>
              <w:right w:type="dxa" w:w="130"/>
            </w:tcMar>
          </w:tcPr>
          <w:p>
            <w:pPr>
              <w:spacing w:after="0" w:line="260"/>
            </w:pPr>
            <w:r>
              <w:rPr>
                <w:b w:val="false"/>
                <w:bCs w:val="false"/>
                <w:sz w:val="20"/>
                <w:szCs w:val="20"/>
              </w:rPr>
              <w:t xml:space="preserve">Sofia Kallio, Data Protection Officer — sections 8.1 and 8.2</w:t>
            </w:r>
          </w:p>
        </w:tc>
        <w:tc>
          <w:tcPr>
            <w:tcW w:type="dxa" w:w="2200"/>
            <w:tcMar>
              <w:top w:type="dxa" w:w="90"/>
              <w:left w:type="dxa" w:w="130"/>
              <w:bottom w:type="dxa" w:w="90"/>
              <w:right w:type="dxa" w:w="130"/>
            </w:tcMar>
          </w:tcPr>
          <w:p>
            <w:pPr>
              <w:spacing w:after="0" w:line="260"/>
            </w:pPr>
            <w:r>
              <w:rPr>
                <w:b w:val="false"/>
                <w:bCs w:val="false"/>
                <w:sz w:val="20"/>
                <w:szCs w:val="20"/>
              </w:rPr>
              <w:t xml:space="preserve"/>
            </w:r>
          </w:p>
        </w:tc>
        <w:tc>
          <w:tcPr>
            <w:tcW w:type="dxa" w:w="1560"/>
            <w:tcMar>
              <w:top w:type="dxa" w:w="90"/>
              <w:left w:type="dxa" w:w="130"/>
              <w:bottom w:type="dxa" w:w="90"/>
              <w:right w:type="dxa" w:w="130"/>
            </w:tcMar>
          </w:tcPr>
          <w:p>
            <w:pPr>
              <w:spacing w:after="0" w:line="260"/>
            </w:pPr>
            <w:r>
              <w:rPr>
                <w:b w:val="false"/>
                <w:bCs w:val="false"/>
                <w:sz w:val="20"/>
                <w:szCs w:val="20"/>
              </w:rPr>
              <w:t xml:space="preserve"/>
            </w:r>
          </w:p>
        </w:tc>
      </w:tr>
      <w:tr>
        <w:trPr>
          <w:tblHeader w:val="false"/>
        </w:trPr>
        <w:tc>
          <w:tcPr>
            <w:tcW w:type="dxa" w:w="2400"/>
            <w:tcMar>
              <w:top w:type="dxa" w:w="90"/>
              <w:left w:type="dxa" w:w="130"/>
              <w:bottom w:type="dxa" w:w="90"/>
              <w:right w:type="dxa" w:w="130"/>
            </w:tcMar>
          </w:tcPr>
          <w:p>
            <w:pPr>
              <w:spacing w:after="0" w:line="260"/>
            </w:pPr>
            <w:r>
              <w:rPr>
                <w:b w:val="false"/>
                <w:bCs w:val="false"/>
                <w:sz w:val="20"/>
                <w:szCs w:val="20"/>
              </w:rPr>
              <w:t xml:space="preserve">Reviewed by</w:t>
            </w:r>
          </w:p>
        </w:tc>
        <w:tc>
          <w:tcPr>
            <w:tcW w:type="dxa" w:w="3200"/>
            <w:tcMar>
              <w:top w:type="dxa" w:w="90"/>
              <w:left w:type="dxa" w:w="130"/>
              <w:bottom w:type="dxa" w:w="90"/>
              <w:right w:type="dxa" w:w="130"/>
            </w:tcMar>
          </w:tcPr>
          <w:p>
            <w:pPr>
              <w:spacing w:after="0" w:line="260"/>
            </w:pPr>
            <w:r>
              <w:rPr>
                <w:b w:val="false"/>
                <w:bCs w:val="false"/>
                <w:sz w:val="20"/>
                <w:szCs w:val="20"/>
              </w:rPr>
              <w:t xml:space="preserve">Helen Achebe-Ward, Chief Information Security Officer</w:t>
            </w:r>
          </w:p>
        </w:tc>
        <w:tc>
          <w:tcPr>
            <w:tcW w:type="dxa" w:w="2200"/>
            <w:tcMar>
              <w:top w:type="dxa" w:w="90"/>
              <w:left w:type="dxa" w:w="130"/>
              <w:bottom w:type="dxa" w:w="90"/>
              <w:right w:type="dxa" w:w="130"/>
            </w:tcMar>
          </w:tcPr>
          <w:p>
            <w:pPr>
              <w:spacing w:after="0" w:line="260"/>
            </w:pPr>
            <w:r>
              <w:rPr>
                <w:b w:val="false"/>
                <w:bCs w:val="false"/>
                <w:sz w:val="20"/>
                <w:szCs w:val="20"/>
              </w:rPr>
              <w:t xml:space="preserve"/>
            </w:r>
          </w:p>
        </w:tc>
        <w:tc>
          <w:tcPr>
            <w:tcW w:type="dxa" w:w="1560"/>
            <w:tcMar>
              <w:top w:type="dxa" w:w="90"/>
              <w:left w:type="dxa" w:w="130"/>
              <w:bottom w:type="dxa" w:w="90"/>
              <w:right w:type="dxa" w:w="130"/>
            </w:tcMar>
          </w:tcPr>
          <w:p>
            <w:pPr>
              <w:spacing w:after="0" w:line="260"/>
            </w:pPr>
            <w:r>
              <w:rPr>
                <w:b w:val="false"/>
                <w:bCs w:val="false"/>
                <w:sz w:val="20"/>
                <w:szCs w:val="20"/>
              </w:rPr>
              <w:t xml:space="preserve"/>
            </w:r>
          </w:p>
        </w:tc>
      </w:tr>
      <w:tr>
        <w:trPr>
          <w:tblHeader w:val="false"/>
        </w:trPr>
        <w:tc>
          <w:tcPr>
            <w:tcW w:type="dxa" w:w="2400"/>
            <w:tcMar>
              <w:top w:type="dxa" w:w="90"/>
              <w:left w:type="dxa" w:w="130"/>
              <w:bottom w:type="dxa" w:w="90"/>
              <w:right w:type="dxa" w:w="130"/>
            </w:tcMar>
          </w:tcPr>
          <w:p>
            <w:pPr>
              <w:spacing w:after="0" w:line="260"/>
            </w:pPr>
            <w:r>
              <w:rPr>
                <w:b w:val="false"/>
                <w:bCs w:val="false"/>
                <w:sz w:val="20"/>
                <w:szCs w:val="20"/>
              </w:rPr>
              <w:t xml:space="preserve">Approved by</w:t>
            </w:r>
          </w:p>
        </w:tc>
        <w:tc>
          <w:tcPr>
            <w:tcW w:type="dxa" w:w="3200"/>
            <w:tcMar>
              <w:top w:type="dxa" w:w="90"/>
              <w:left w:type="dxa" w:w="130"/>
              <w:bottom w:type="dxa" w:w="90"/>
              <w:right w:type="dxa" w:w="130"/>
            </w:tcMar>
          </w:tcPr>
          <w:p>
            <w:pPr>
              <w:spacing w:after="0" w:line="260"/>
            </w:pPr>
            <w:r>
              <w:rPr>
                <w:b w:val="false"/>
                <w:bCs w:val="false"/>
                <w:sz w:val="20"/>
                <w:szCs w:val="20"/>
              </w:rPr>
              <w:t xml:space="preserve">Executive Risk Committee</w:t>
            </w:r>
          </w:p>
        </w:tc>
        <w:tc>
          <w:tcPr>
            <w:tcW w:type="dxa" w:w="2200"/>
            <w:tcMar>
              <w:top w:type="dxa" w:w="90"/>
              <w:left w:type="dxa" w:w="130"/>
              <w:bottom w:type="dxa" w:w="90"/>
              <w:right w:type="dxa" w:w="130"/>
            </w:tcMar>
          </w:tcPr>
          <w:p>
            <w:pPr>
              <w:spacing w:after="0" w:line="260"/>
            </w:pPr>
            <w:r>
              <w:rPr>
                <w:b w:val="false"/>
                <w:bCs w:val="false"/>
                <w:sz w:val="20"/>
                <w:szCs w:val="20"/>
              </w:rPr>
              <w:t xml:space="preserve"/>
            </w:r>
          </w:p>
        </w:tc>
        <w:tc>
          <w:tcPr>
            <w:tcW w:type="dxa" w:w="1560"/>
            <w:tcMar>
              <w:top w:type="dxa" w:w="90"/>
              <w:left w:type="dxa" w:w="130"/>
              <w:bottom w:type="dxa" w:w="90"/>
              <w:right w:type="dxa" w:w="130"/>
            </w:tcMar>
          </w:tcPr>
          <w:p>
            <w:pPr>
              <w:spacing w:after="0" w:line="260"/>
            </w:pPr>
            <w:r>
              <w:rPr>
                <w:b w:val="false"/>
                <w:bCs w:val="false"/>
                <w:sz w:val="20"/>
                <w:szCs w:val="20"/>
              </w:rPr>
              <w:t xml:space="preserve"/>
            </w:r>
          </w:p>
        </w:tc>
      </w:tr>
    </w:tbl>
    <w:p>
      <w:pPr>
        <w:spacing w:after="140" w:line="276"/>
      </w:pPr>
      <w:r>
        <w:rPr>
          <w:sz w:val="22"/>
          <w:szCs w:val="22"/>
        </w:rPr>
        <w:t xml:space="preserve">UNAPPROVED. Issued for review; version 2.0 remains operative until this block is executed. Sections 3, 4.1 and 8.1 require General Counsel sign-off, and sections 8.1 and 8.2 require Data Protection Officer confirmation, before approval.</w:t>
      </w:r>
    </w:p>
    <w:p>
      <w:pPr>
        <w:pStyle w:val="Heading1"/>
        <w:spacing w:after="160" w:before="320"/>
      </w:pPr>
      <w:r>
        <w:t xml:space="preserve">15. Revision history</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200"/>
        <w:gridCol w:w="1900"/>
        <w:gridCol w:w="2600"/>
        <w:gridCol w:w="3660"/>
      </w:tblGrid>
      <w:tr>
        <w:trPr>
          <w:tblHeader/>
        </w:trPr>
        <w:tc>
          <w:tcPr>
            <w:tcW w:type="dxa" w:w="1200"/>
            <w:shd w:fill="E7EAF0" w:color="auto" w:val="clear"/>
            <w:tcMar>
              <w:top w:type="dxa" w:w="90"/>
              <w:left w:type="dxa" w:w="130"/>
              <w:bottom w:type="dxa" w:w="90"/>
              <w:right w:type="dxa" w:w="130"/>
            </w:tcMar>
          </w:tcPr>
          <w:p>
            <w:pPr>
              <w:spacing w:after="0" w:line="260"/>
            </w:pPr>
            <w:r>
              <w:rPr>
                <w:b/>
                <w:bCs/>
                <w:sz w:val="20"/>
                <w:szCs w:val="20"/>
              </w:rPr>
              <w:t xml:space="preserve">Version</w:t>
            </w:r>
          </w:p>
        </w:tc>
        <w:tc>
          <w:tcPr>
            <w:tcW w:type="dxa" w:w="1900"/>
            <w:shd w:fill="E7EAF0" w:color="auto" w:val="clear"/>
            <w:tcMar>
              <w:top w:type="dxa" w:w="90"/>
              <w:left w:type="dxa" w:w="130"/>
              <w:bottom w:type="dxa" w:w="90"/>
              <w:right w:type="dxa" w:w="130"/>
            </w:tcMar>
          </w:tcPr>
          <w:p>
            <w:pPr>
              <w:spacing w:after="0" w:line="260"/>
            </w:pPr>
            <w:r>
              <w:rPr>
                <w:b/>
                <w:bCs/>
                <w:sz w:val="20"/>
                <w:szCs w:val="20"/>
              </w:rPr>
              <w:t xml:space="preserve">Date</w:t>
            </w:r>
          </w:p>
        </w:tc>
        <w:tc>
          <w:tcPr>
            <w:tcW w:type="dxa" w:w="2600"/>
            <w:shd w:fill="E7EAF0" w:color="auto" w:val="clear"/>
            <w:tcMar>
              <w:top w:type="dxa" w:w="90"/>
              <w:left w:type="dxa" w:w="130"/>
              <w:bottom w:type="dxa" w:w="90"/>
              <w:right w:type="dxa" w:w="130"/>
            </w:tcMar>
          </w:tcPr>
          <w:p>
            <w:pPr>
              <w:spacing w:after="0" w:line="260"/>
            </w:pPr>
            <w:r>
              <w:rPr>
                <w:b/>
                <w:bCs/>
                <w:sz w:val="20"/>
                <w:szCs w:val="20"/>
              </w:rPr>
              <w:t xml:space="preserve">Author</w:t>
            </w:r>
          </w:p>
        </w:tc>
        <w:tc>
          <w:tcPr>
            <w:tcW w:type="dxa" w:w="3660"/>
            <w:shd w:fill="E7EAF0" w:color="auto" w:val="clear"/>
            <w:tcMar>
              <w:top w:type="dxa" w:w="90"/>
              <w:left w:type="dxa" w:w="130"/>
              <w:bottom w:type="dxa" w:w="90"/>
              <w:right w:type="dxa" w:w="130"/>
            </w:tcMar>
          </w:tcPr>
          <w:p>
            <w:pPr>
              <w:spacing w:after="0" w:line="260"/>
            </w:pPr>
            <w:r>
              <w:rPr>
                <w:b/>
                <w:bCs/>
                <w:sz w:val="20"/>
                <w:szCs w:val="20"/>
              </w:rPr>
              <w:t xml:space="preserve">Summary of change</w:t>
            </w:r>
          </w:p>
        </w:tc>
      </w:tr>
      <w:tr>
        <w:trPr>
          <w:tblHeader w:val="false"/>
        </w:trPr>
        <w:tc>
          <w:tcPr>
            <w:tcW w:type="dxa" w:w="1200"/>
            <w:tcMar>
              <w:top w:type="dxa" w:w="90"/>
              <w:left w:type="dxa" w:w="130"/>
              <w:bottom w:type="dxa" w:w="90"/>
              <w:right w:type="dxa" w:w="130"/>
            </w:tcMar>
          </w:tcPr>
          <w:p>
            <w:pPr>
              <w:spacing w:after="0" w:line="260"/>
            </w:pPr>
            <w:r>
              <w:rPr>
                <w:b w:val="false"/>
                <w:bCs w:val="false"/>
                <w:sz w:val="20"/>
                <w:szCs w:val="20"/>
              </w:rPr>
              <w:t xml:space="preserve">1.0</w:t>
            </w:r>
          </w:p>
        </w:tc>
        <w:tc>
          <w:tcPr>
            <w:tcW w:type="dxa" w:w="1900"/>
            <w:tcMar>
              <w:top w:type="dxa" w:w="90"/>
              <w:left w:type="dxa" w:w="130"/>
              <w:bottom w:type="dxa" w:w="90"/>
              <w:right w:type="dxa" w:w="130"/>
            </w:tcMar>
          </w:tcPr>
          <w:p>
            <w:pPr>
              <w:spacing w:after="0" w:line="260"/>
            </w:pPr>
            <w:r>
              <w:rPr>
                <w:b w:val="false"/>
                <w:bCs w:val="false"/>
                <w:sz w:val="20"/>
                <w:szCs w:val="20"/>
              </w:rPr>
              <w:t xml:space="preserve">14 March 2023</w:t>
            </w:r>
          </w:p>
        </w:tc>
        <w:tc>
          <w:tcPr>
            <w:tcW w:type="dxa" w:w="2600"/>
            <w:tcMar>
              <w:top w:type="dxa" w:w="90"/>
              <w:left w:type="dxa" w:w="130"/>
              <w:bottom w:type="dxa" w:w="90"/>
              <w:right w:type="dxa" w:w="130"/>
            </w:tcMar>
          </w:tcPr>
          <w:p>
            <w:pPr>
              <w:spacing w:after="0" w:line="260"/>
            </w:pPr>
            <w:r>
              <w:rPr>
                <w:b w:val="false"/>
                <w:bCs w:val="false"/>
                <w:sz w:val="20"/>
                <w:szCs w:val="20"/>
              </w:rPr>
              <w:t xml:space="preserve">Head of Security Governance</w:t>
            </w:r>
          </w:p>
        </w:tc>
        <w:tc>
          <w:tcPr>
            <w:tcW w:type="dxa" w:w="3660"/>
            <w:tcMar>
              <w:top w:type="dxa" w:w="90"/>
              <w:left w:type="dxa" w:w="130"/>
              <w:bottom w:type="dxa" w:w="90"/>
              <w:right w:type="dxa" w:w="130"/>
            </w:tcMar>
          </w:tcPr>
          <w:p>
            <w:pPr>
              <w:spacing w:after="0" w:line="260"/>
            </w:pPr>
            <w:r>
              <w:rPr>
                <w:b w:val="false"/>
                <w:bCs w:val="false"/>
                <w:sz w:val="20"/>
                <w:szCs w:val="20"/>
              </w:rPr>
              <w:t xml:space="preserve">Initial issue with three classification levels.</w:t>
            </w:r>
          </w:p>
        </w:tc>
      </w:tr>
      <w:tr>
        <w:trPr>
          <w:tblHeader w:val="false"/>
        </w:trPr>
        <w:tc>
          <w:tcPr>
            <w:tcW w:type="dxa" w:w="1200"/>
            <w:tcMar>
              <w:top w:type="dxa" w:w="90"/>
              <w:left w:type="dxa" w:w="130"/>
              <w:bottom w:type="dxa" w:w="90"/>
              <w:right w:type="dxa" w:w="130"/>
            </w:tcMar>
          </w:tcPr>
          <w:p>
            <w:pPr>
              <w:spacing w:after="0" w:line="260"/>
            </w:pPr>
            <w:r>
              <w:rPr>
                <w:b w:val="false"/>
                <w:bCs w:val="false"/>
                <w:sz w:val="20"/>
                <w:szCs w:val="20"/>
              </w:rPr>
              <w:t xml:space="preserve">1.5</w:t>
            </w:r>
          </w:p>
        </w:tc>
        <w:tc>
          <w:tcPr>
            <w:tcW w:type="dxa" w:w="1900"/>
            <w:tcMar>
              <w:top w:type="dxa" w:w="90"/>
              <w:left w:type="dxa" w:w="130"/>
              <w:bottom w:type="dxa" w:w="90"/>
              <w:right w:type="dxa" w:w="130"/>
            </w:tcMar>
          </w:tcPr>
          <w:p>
            <w:pPr>
              <w:spacing w:after="0" w:line="260"/>
            </w:pPr>
            <w:r>
              <w:rPr>
                <w:b w:val="false"/>
                <w:bCs w:val="false"/>
                <w:sz w:val="20"/>
                <w:szCs w:val="20"/>
              </w:rPr>
              <w:t xml:space="preserve">11 November 2024</w:t>
            </w:r>
          </w:p>
        </w:tc>
        <w:tc>
          <w:tcPr>
            <w:tcW w:type="dxa" w:w="2600"/>
            <w:tcMar>
              <w:top w:type="dxa" w:w="90"/>
              <w:left w:type="dxa" w:w="130"/>
              <w:bottom w:type="dxa" w:w="90"/>
              <w:right w:type="dxa" w:w="130"/>
            </w:tcMar>
          </w:tcPr>
          <w:p>
            <w:pPr>
              <w:spacing w:after="0" w:line="260"/>
            </w:pPr>
            <w:r>
              <w:rPr>
                <w:b w:val="false"/>
                <w:bCs w:val="false"/>
                <w:sz w:val="20"/>
                <w:szCs w:val="20"/>
              </w:rPr>
              <w:t xml:space="preserve">Head of Information Governance</w:t>
            </w:r>
          </w:p>
        </w:tc>
        <w:tc>
          <w:tcPr>
            <w:tcW w:type="dxa" w:w="3660"/>
            <w:tcMar>
              <w:top w:type="dxa" w:w="90"/>
              <w:left w:type="dxa" w:w="130"/>
              <w:bottom w:type="dxa" w:w="90"/>
              <w:right w:type="dxa" w:w="130"/>
            </w:tcMar>
          </w:tcPr>
          <w:p>
            <w:pPr>
              <w:spacing w:after="0" w:line="260"/>
            </w:pPr>
            <w:r>
              <w:rPr>
                <w:b w:val="false"/>
                <w:bCs w:val="false"/>
                <w:sz w:val="20"/>
                <w:szCs w:val="20"/>
              </w:rPr>
              <w:t xml:space="preserve">Added Restricted level to accommodate cardholder data; introduced labelling requirements.</w:t>
            </w:r>
          </w:p>
        </w:tc>
      </w:tr>
      <w:tr>
        <w:trPr>
          <w:tblHeader w:val="false"/>
        </w:trPr>
        <w:tc>
          <w:tcPr>
            <w:tcW w:type="dxa" w:w="1200"/>
            <w:tcMar>
              <w:top w:type="dxa" w:w="90"/>
              <w:left w:type="dxa" w:w="130"/>
              <w:bottom w:type="dxa" w:w="90"/>
              <w:right w:type="dxa" w:w="130"/>
            </w:tcMar>
          </w:tcPr>
          <w:p>
            <w:pPr>
              <w:spacing w:after="0" w:line="260"/>
            </w:pPr>
            <w:r>
              <w:rPr>
                <w:b w:val="false"/>
                <w:bCs w:val="false"/>
                <w:sz w:val="20"/>
                <w:szCs w:val="20"/>
              </w:rPr>
              <w:t xml:space="preserve">2.0</w:t>
            </w:r>
          </w:p>
        </w:tc>
        <w:tc>
          <w:tcPr>
            <w:tcW w:type="dxa" w:w="1900"/>
            <w:tcMar>
              <w:top w:type="dxa" w:w="90"/>
              <w:left w:type="dxa" w:w="130"/>
              <w:bottom w:type="dxa" w:w="90"/>
              <w:right w:type="dxa" w:w="130"/>
            </w:tcMar>
          </w:tcPr>
          <w:p>
            <w:pPr>
              <w:spacing w:after="0" w:line="260"/>
            </w:pPr>
            <w:r>
              <w:rPr>
                <w:b w:val="false"/>
                <w:bCs w:val="false"/>
                <w:sz w:val="20"/>
                <w:szCs w:val="20"/>
              </w:rPr>
              <w:t xml:space="preserve">1 October 2026</w:t>
            </w:r>
          </w:p>
        </w:tc>
        <w:tc>
          <w:tcPr>
            <w:tcW w:type="dxa" w:w="2600"/>
            <w:tcMar>
              <w:top w:type="dxa" w:w="90"/>
              <w:left w:type="dxa" w:w="130"/>
              <w:bottom w:type="dxa" w:w="90"/>
              <w:right w:type="dxa" w:w="130"/>
            </w:tcMar>
          </w:tcPr>
          <w:p>
            <w:pPr>
              <w:spacing w:after="0" w:line="260"/>
            </w:pPr>
            <w:r>
              <w:rPr>
                <w:b w:val="false"/>
                <w:bCs w:val="false"/>
                <w:sz w:val="20"/>
                <w:szCs w:val="20"/>
              </w:rPr>
              <w:t xml:space="preserve">Chief Information Security Officer</w:t>
            </w:r>
          </w:p>
        </w:tc>
        <w:tc>
          <w:tcPr>
            <w:tcW w:type="dxa" w:w="3660"/>
            <w:tcMar>
              <w:top w:type="dxa" w:w="90"/>
              <w:left w:type="dxa" w:w="130"/>
              <w:bottom w:type="dxa" w:w="90"/>
              <w:right w:type="dxa" w:w="130"/>
            </w:tcMar>
          </w:tcPr>
          <w:p>
            <w:pPr>
              <w:spacing w:after="0" w:line="260"/>
            </w:pPr>
            <w:r>
              <w:rPr>
                <w:b w:val="false"/>
                <w:bCs w:val="false"/>
                <w:sz w:val="20"/>
                <w:szCs w:val="20"/>
              </w:rPr>
              <w:t xml:space="preserve">Aligned to ISO/IEC 27001:2022 Annex A; added non-production data provisions; expanded retention, legal hold and cross-border transfer requirements.</w:t>
            </w:r>
          </w:p>
        </w:tc>
      </w:tr>
      <w:tr>
        <w:trPr>
          <w:tblHeader w:val="false"/>
        </w:trPr>
        <w:tc>
          <w:tcPr>
            <w:tcW w:type="dxa" w:w="1200"/>
            <w:tcMar>
              <w:top w:type="dxa" w:w="90"/>
              <w:left w:type="dxa" w:w="130"/>
              <w:bottom w:type="dxa" w:w="90"/>
              <w:right w:type="dxa" w:w="130"/>
            </w:tcMar>
          </w:tcPr>
          <w:p>
            <w:pPr>
              <w:spacing w:after="0" w:line="260"/>
            </w:pPr>
            <w:r>
              <w:rPr>
                <w:b w:val="false"/>
                <w:bCs w:val="false"/>
                <w:sz w:val="20"/>
                <w:szCs w:val="20"/>
              </w:rPr>
              <w:t xml:space="preserve">3.0</w:t>
            </w:r>
          </w:p>
        </w:tc>
        <w:tc>
          <w:tcPr>
            <w:tcW w:type="dxa" w:w="1900"/>
            <w:tcMar>
              <w:top w:type="dxa" w:w="90"/>
              <w:left w:type="dxa" w:w="130"/>
              <w:bottom w:type="dxa" w:w="90"/>
              <w:right w:type="dxa" w:w="130"/>
            </w:tcMar>
          </w:tcPr>
          <w:p>
            <w:pPr>
              <w:spacing w:after="0" w:line="260"/>
            </w:pPr>
            <w:r>
              <w:rPr>
                <w:b w:val="false"/>
                <w:bCs w:val="false"/>
                <w:sz w:val="20"/>
                <w:szCs w:val="20"/>
              </w:rPr>
              <w:t xml:space="preserve">Draft, 9 September 2026</w:t>
            </w:r>
          </w:p>
        </w:tc>
        <w:tc>
          <w:tcPr>
            <w:tcW w:type="dxa" w:w="2600"/>
            <w:tcMar>
              <w:top w:type="dxa" w:w="90"/>
              <w:left w:type="dxa" w:w="130"/>
              <w:bottom w:type="dxa" w:w="90"/>
              <w:right w:type="dxa" w:w="130"/>
            </w:tcMar>
          </w:tcPr>
          <w:p>
            <w:pPr>
              <w:spacing w:after="0" w:line="260"/>
            </w:pPr>
            <w:r>
              <w:rPr>
                <w:b w:val="false"/>
                <w:bCs w:val="false"/>
                <w:sz w:val="20"/>
                <w:szCs w:val="20"/>
              </w:rPr>
              <w:t xml:space="preserve">Head of Information Governance</w:t>
            </w:r>
          </w:p>
        </w:tc>
        <w:tc>
          <w:tcPr>
            <w:tcW w:type="dxa" w:w="3660"/>
            <w:tcMar>
              <w:top w:type="dxa" w:w="90"/>
              <w:left w:type="dxa" w:w="130"/>
              <w:bottom w:type="dxa" w:w="90"/>
              <w:right w:type="dxa" w:w="130"/>
            </w:tcMar>
          </w:tcPr>
          <w:p>
            <w:pPr>
              <w:spacing w:after="0" w:line="260"/>
            </w:pPr>
            <w:r>
              <w:rPr>
                <w:b w:val="false"/>
                <w:bCs w:val="false"/>
                <w:sz w:val="20"/>
                <w:szCs w:val="20"/>
              </w:rPr>
              <w:t xml:space="preserve">Added section 3 recording the financial crime and record-keeping obligations driving classification. Introduced Restricted — Controlled Access at 4.1 for suspicious activity, sanctions and tipping-off material, which no previous version distinguished. Added section 8.1 resolving the conflict between statutory retention floors and erasure rights, and 8.2 setting out jurisdictional differences. Moved cryptographic and sanitisation parameters to STD-09. Added 12A scope exclusions, 12B open decisions, and an approval block. Sections renumbered.</w:t>
            </w:r>
          </w:p>
        </w:tc>
      </w:tr>
    </w:tbl>
    <w:sectPr>
      <w:headerReference w:type="default" r:id="rId7"/>
      <w:footerReference w:type="default" r:id="rId8"/>
      <w:pgSz w:w="12240" w:h="15840" w:orient="portrait"/>
      <w:pgMar w:top="1180" w:right="1440" w:bottom="1100" w:left="1440" w:header="62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spacing w:before="60"/>
    </w:pPr>
    <w:r>
      <w:rPr>
        <w:color w:val="44546A"/>
        <w:sz w:val="16"/>
        <w:szCs w:val="16"/>
      </w:rPr>
      <w:t xml:space="preserve">AFT-ISMS-POL-04  ·  Internal</w:t>
    </w:r>
    <w:r>
      <w:rPr>
        <w:color w:val="44546A"/>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spacing w:after="0"/>
    </w:pPr>
    <w:r>
      <w:rPr>
        <w:b/>
        <w:bCs/>
        <w:color w:val="44546A"/>
        <w:sz w:val="17"/>
        <w:szCs w:val="17"/>
      </w:rPr>
      <w:t xml:space="preserve">Aldridge Financial Technologies</w:t>
    </w:r>
    <w:r>
      <w:rPr>
        <w:color w:val="44546A"/>
        <w:sz w:val="17"/>
        <w:szCs w:val="17"/>
      </w:rPr>
      <w:t xml:space="preserve">	Data Classification and Handling Policy</w:t>
    </w:r>
  </w:p>
  <w:p>
    <w:pPr>
      <w:pBdr>
        <w:bottom w:val="single" w:color="BFBFBF" w:sz="6"/>
      </w:pBd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00"/>
      </w:pPr>
    </w:lvl>
    <w:lvl w:ilvl="1" w15:tentative="1">
      <w:start w:val="1"/>
      <w:numFmt w:val="bullet"/>
      <w:lvlText w:val="–"/>
      <w:lvlJc w:val="left"/>
      <w:pPr>
        <w:ind w:left="11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rFonts w:ascii="Calibri" w:cs="Calibri" w:eastAsia="Calibri" w:hAnsi="Calibri"/>
      <w:b/>
      <w:bCs/>
      <w:color w:val="1F3864"/>
      <w:sz w:val="30"/>
      <w:szCs w:val="30"/>
    </w:rPr>
  </w:style>
  <w:style w:type="paragraph" w:styleId="Heading2">
    <w:name w:val="Heading 2"/>
    <w:basedOn w:val="Normal"/>
    <w:next w:val="Normal"/>
    <w:qFormat/>
    <w:pPr>
      <w:spacing w:after="120" w:before="240"/>
    </w:pPr>
    <w:rPr>
      <w:rFonts w:ascii="Calibri" w:cs="Calibri" w:eastAsia="Calibri" w:hAnsi="Calibri"/>
      <w:b/>
      <w:bCs/>
      <w:color w:val="44546A"/>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Aldridge Financial Technologies — Data Classification and Handling Policy</dc:title>
  <dc:creator>Aldridge Financial Technologies — Information Security</dc:creator>
  <dc:description>Information Security Management System — Tier 2 Policy</dc:description>
  <cp:lastModifiedBy>Un-named</cp:lastModifiedBy>
  <cp:revision>1</cp:revision>
  <dcterms:created xsi:type="dcterms:W3CDTF">2026-09-10T01:39:28.729Z</dcterms:created>
  <dcterms:modified xsi:type="dcterms:W3CDTF">2026-09-10T01:39:28.739Z</dcterms:modified>
</cp:coreProperties>
</file>

<file path=docProps/custom.xml><?xml version="1.0" encoding="utf-8"?>
<Properties xmlns="http://schemas.openxmlformats.org/officeDocument/2006/custom-properties" xmlns:vt="http://schemas.openxmlformats.org/officeDocument/2006/docPropsVTypes"/>
</file>