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pacing w:val="24"/>
          <w:sz w:val="19"/>
          <w:szCs w:val="19"/>
        </w:rPr>
        <w:t xml:space="preserve">ALDRIDGE FINANCIAL TECHNOLOGIES</w:t>
      </w:r>
    </w:p>
    <w:p>
      <w:pPr>
        <w:spacing w:after="60"/>
      </w:pPr>
      <w:r>
        <w:rPr>
          <w:b/>
          <w:bCs/>
          <w:color w:val="1F3864"/>
          <w:sz w:val="44"/>
          <w:szCs w:val="44"/>
        </w:rPr>
        <w:t xml:space="preserve">Information Security Incident Response Policy</w:t>
      </w:r>
    </w:p>
    <w:p>
      <w:pPr>
        <w:pBdr>
          <w:bottom w:val="single" w:color="1F3864" w:sz="12"/>
        </w:pBdr>
        <w:spacing w:after="240"/>
      </w:pPr>
      <w:r>
        <w:rPr>
          <w:i/>
          <w:iCs/>
          <w:color w:val="44546A"/>
          <w:sz w:val="22"/>
          <w:szCs w:val="22"/>
        </w:rPr>
        <w:t xml:space="preserve">Information Security Management System — Tier 2 Policy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480"/>
        <w:gridCol w:w="2200"/>
        <w:gridCol w:w="2480"/>
      </w:tblGrid>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Document reference</w:t>
            </w:r>
          </w:p>
        </w:tc>
        <w:tc>
          <w:tcPr>
            <w:tcW w:type="dxa" w:w="2480"/>
            <w:tcMar>
              <w:top w:type="dxa" w:w="90"/>
              <w:left w:type="dxa" w:w="130"/>
              <w:bottom w:type="dxa" w:w="90"/>
              <w:right w:type="dxa" w:w="130"/>
            </w:tcMar>
          </w:tcPr>
          <w:p>
            <w:pPr>
              <w:spacing w:after="0" w:line="260"/>
            </w:pPr>
            <w:r>
              <w:rPr>
                <w:b w:val="false"/>
                <w:bCs w:val="false"/>
                <w:sz w:val="20"/>
                <w:szCs w:val="20"/>
              </w:rPr>
              <w:t xml:space="preserve">AFT-ISMS-POL-02</w:t>
            </w:r>
          </w:p>
        </w:tc>
        <w:tc>
          <w:tcPr>
            <w:tcW w:type="dxa" w:w="2200"/>
            <w:tcMar>
              <w:top w:type="dxa" w:w="90"/>
              <w:left w:type="dxa" w:w="130"/>
              <w:bottom w:type="dxa" w:w="90"/>
              <w:right w:type="dxa" w:w="130"/>
            </w:tcMar>
          </w:tcPr>
          <w:p>
            <w:pPr>
              <w:spacing w:after="0" w:line="260"/>
            </w:pPr>
            <w:r>
              <w:rPr>
                <w:b w:val="false"/>
                <w:bCs w:val="false"/>
                <w:sz w:val="20"/>
                <w:szCs w:val="20"/>
              </w:rPr>
              <w:t xml:space="preserve">Version</w:t>
            </w:r>
          </w:p>
        </w:tc>
        <w:tc>
          <w:tcPr>
            <w:tcW w:type="dxa" w:w="2480"/>
            <w:tcMar>
              <w:top w:type="dxa" w:w="90"/>
              <w:left w:type="dxa" w:w="130"/>
              <w:bottom w:type="dxa" w:w="90"/>
              <w:right w:type="dxa" w:w="130"/>
            </w:tcMar>
          </w:tcPr>
          <w:p>
            <w:pPr>
              <w:spacing w:after="0" w:line="260"/>
            </w:pPr>
            <w:r>
              <w:rPr>
                <w:b w:val="false"/>
                <w:bCs w:val="false"/>
                <w:sz w:val="20"/>
                <w:szCs w:val="20"/>
              </w:rPr>
              <w:t xml:space="preserve">3.1</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Document owner</w:t>
            </w:r>
          </w:p>
        </w:tc>
        <w:tc>
          <w:tcPr>
            <w:tcW w:type="dxa" w:w="248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2200"/>
            <w:tcMar>
              <w:top w:type="dxa" w:w="90"/>
              <w:left w:type="dxa" w:w="130"/>
              <w:bottom w:type="dxa" w:w="90"/>
              <w:right w:type="dxa" w:w="130"/>
            </w:tcMar>
          </w:tcPr>
          <w:p>
            <w:pPr>
              <w:spacing w:after="0" w:line="260"/>
            </w:pPr>
            <w:r>
              <w:rPr>
                <w:b w:val="false"/>
                <w:bCs w:val="false"/>
                <w:sz w:val="20"/>
                <w:szCs w:val="20"/>
              </w:rPr>
              <w:t xml:space="preserve">Approved by</w:t>
            </w:r>
          </w:p>
        </w:tc>
        <w:tc>
          <w:tcPr>
            <w:tcW w:type="dxa" w:w="2480"/>
            <w:tcMar>
              <w:top w:type="dxa" w:w="90"/>
              <w:left w:type="dxa" w:w="130"/>
              <w:bottom w:type="dxa" w:w="90"/>
              <w:right w:type="dxa" w:w="130"/>
            </w:tcMar>
          </w:tcPr>
          <w:p>
            <w:pPr>
              <w:spacing w:after="0" w:line="260"/>
            </w:pPr>
            <w:r>
              <w:rPr>
                <w:b w:val="false"/>
                <w:bCs w:val="false"/>
                <w:sz w:val="20"/>
                <w:szCs w:val="20"/>
              </w:rPr>
              <w:t xml:space="preserve">Executive Risk Committee</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Effective date</w:t>
            </w:r>
          </w:p>
        </w:tc>
        <w:tc>
          <w:tcPr>
            <w:tcW w:type="dxa" w:w="248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200"/>
            <w:tcMar>
              <w:top w:type="dxa" w:w="90"/>
              <w:left w:type="dxa" w:w="130"/>
              <w:bottom w:type="dxa" w:w="90"/>
              <w:right w:type="dxa" w:w="130"/>
            </w:tcMar>
          </w:tcPr>
          <w:p>
            <w:pPr>
              <w:spacing w:after="0" w:line="260"/>
            </w:pPr>
            <w:r>
              <w:rPr>
                <w:b w:val="false"/>
                <w:bCs w:val="false"/>
                <w:sz w:val="20"/>
                <w:szCs w:val="20"/>
              </w:rPr>
              <w:t xml:space="preserve">Next review</w:t>
            </w:r>
          </w:p>
        </w:tc>
        <w:tc>
          <w:tcPr>
            <w:tcW w:type="dxa" w:w="2480"/>
            <w:tcMar>
              <w:top w:type="dxa" w:w="90"/>
              <w:left w:type="dxa" w:w="130"/>
              <w:bottom w:type="dxa" w:w="90"/>
              <w:right w:type="dxa" w:w="130"/>
            </w:tcMar>
          </w:tcPr>
          <w:p>
            <w:pPr>
              <w:spacing w:after="0" w:line="260"/>
            </w:pPr>
            <w:r>
              <w:rPr>
                <w:b w:val="false"/>
                <w:bCs w:val="false"/>
                <w:sz w:val="20"/>
                <w:szCs w:val="20"/>
              </w:rPr>
              <w:t xml:space="preserve">1 October 2027</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Classification</w:t>
            </w:r>
          </w:p>
        </w:tc>
        <w:tc>
          <w:tcPr>
            <w:tcW w:type="dxa" w:w="2480"/>
            <w:tcMar>
              <w:top w:type="dxa" w:w="90"/>
              <w:left w:type="dxa" w:w="130"/>
              <w:bottom w:type="dxa" w:w="90"/>
              <w:right w:type="dxa" w:w="130"/>
            </w:tcMar>
          </w:tcPr>
          <w:p>
            <w:pPr>
              <w:spacing w:after="0" w:line="260"/>
            </w:pPr>
            <w:r>
              <w:rPr>
                <w:b w:val="false"/>
                <w:bCs w:val="false"/>
                <w:sz w:val="20"/>
                <w:szCs w:val="20"/>
              </w:rPr>
              <w:t xml:space="preserve">Internal</w:t>
            </w:r>
          </w:p>
        </w:tc>
        <w:tc>
          <w:tcPr>
            <w:tcW w:type="dxa" w:w="2200"/>
            <w:tcMar>
              <w:top w:type="dxa" w:w="90"/>
              <w:left w:type="dxa" w:w="130"/>
              <w:bottom w:type="dxa" w:w="90"/>
              <w:right w:type="dxa" w:w="130"/>
            </w:tcMar>
          </w:tcPr>
          <w:p>
            <w:pPr>
              <w:spacing w:after="0" w:line="260"/>
            </w:pPr>
            <w:r>
              <w:rPr>
                <w:b w:val="false"/>
                <w:bCs w:val="false"/>
                <w:sz w:val="20"/>
                <w:szCs w:val="20"/>
              </w:rPr>
              <w:t xml:space="preserve">Applies to</w:t>
            </w:r>
          </w:p>
        </w:tc>
        <w:tc>
          <w:tcPr>
            <w:tcW w:type="dxa" w:w="2480"/>
            <w:tcMar>
              <w:top w:type="dxa" w:w="90"/>
              <w:left w:type="dxa" w:w="130"/>
              <w:bottom w:type="dxa" w:w="90"/>
              <w:right w:type="dxa" w:w="130"/>
            </w:tcMar>
          </w:tcPr>
          <w:p>
            <w:pPr>
              <w:spacing w:after="0" w:line="260"/>
            </w:pPr>
            <w:r>
              <w:rPr>
                <w:b w:val="false"/>
                <w:bCs w:val="false"/>
                <w:sz w:val="20"/>
                <w:szCs w:val="20"/>
              </w:rPr>
              <w:t xml:space="preserve">All workers, globally</w:t>
            </w:r>
          </w:p>
        </w:tc>
      </w:tr>
    </w:tbl>
    <w:p>
      <w:pPr>
        <w:spacing w:after="240"/>
      </w:pPr>
    </w:p>
    <w:p>
      <w:pPr>
        <w:pStyle w:val="Heading2"/>
        <w:spacing w:after="120" w:before="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spacing w:after="0"/>
      </w:pPr>
    </w:p>
    <w:p>
      <w:pPr>
        <w:pStyle w:val="Heading1"/>
        <w:spacing w:after="160" w:before="320"/>
      </w:pPr>
      <w:r>
        <w:t xml:space="preserve">1. Purpose</w:t>
      </w:r>
    </w:p>
    <w:p>
      <w:pPr>
        <w:spacing w:after="140" w:line="276"/>
      </w:pPr>
      <w:r>
        <w:rPr>
          <w:sz w:val="22"/>
          <w:szCs w:val="22"/>
        </w:rPr>
        <w:t xml:space="preserve">This policy establishes how Aldridge Financial Technologies detects, reports, assesses, contains, eradicates and recovers from information security incidents, and how it learns from them. Its objective is to limit the damage an incident causes to the company, to its customers and to the individuals whose data the company holds, and to ensure that statutory and contractual notification obligations are met within the time allowed.</w:t>
      </w:r>
    </w:p>
    <w:p>
      <w:pPr>
        <w:spacing w:after="140" w:line="276"/>
      </w:pPr>
      <w:r>
        <w:rPr>
          <w:sz w:val="22"/>
          <w:szCs w:val="22"/>
        </w:rPr>
        <w:t xml:space="preserve">A slow or disorganised response converts a containable event into a material loss. This policy exists so that the response is neither.</w:t>
      </w:r>
    </w:p>
    <w:p>
      <w:pPr>
        <w:pStyle w:val="Heading1"/>
        <w:spacing w:after="160" w:before="320"/>
      </w:pPr>
      <w:r>
        <w:t xml:space="preserve">2. Scope</w:t>
      </w:r>
    </w:p>
    <w:p>
      <w:pPr>
        <w:spacing w:after="140" w:line="276"/>
      </w:pPr>
      <w:r>
        <w:rPr>
          <w:sz w:val="22"/>
          <w:szCs w:val="22"/>
        </w:rPr>
        <w:t xml:space="preserve">This policy applies to all workers as defined in the Acceptable Use Policy, and to all information systems, applications, cloud environments, networks and data owned or operated by the company or operated on its behalf by a third party.</w:t>
      </w:r>
    </w:p>
    <w:p>
      <w:pPr>
        <w:spacing w:after="140" w:line="276"/>
      </w:pPr>
      <w:r>
        <w:rPr>
          <w:sz w:val="22"/>
          <w:szCs w:val="22"/>
        </w:rPr>
        <w:t xml:space="preserve">It covers incidents affecting the confidentiality, integrity or availability of information, including but not limited to unauthorised access, malicious software, denial of service, data loss or exposure, payment fraud enabled by a control failure, insider misuse, and the compromise of a supplier that holds company or customer data.</w:t>
      </w:r>
    </w:p>
    <w:p>
      <w:pPr>
        <w:pStyle w:val="Heading1"/>
        <w:spacing w:after="160" w:before="320"/>
      </w:pPr>
      <w:r>
        <w:t xml:space="preserve">3. Definitions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E7EAF0" w:color="auto" w:val="clear"/>
            <w:tcMar>
              <w:top w:type="dxa" w:w="90"/>
              <w:left w:type="dxa" w:w="130"/>
              <w:bottom w:type="dxa" w:w="90"/>
              <w:right w:type="dxa" w:w="130"/>
            </w:tcMar>
          </w:tcPr>
          <w:p>
            <w:pPr>
              <w:spacing w:after="0" w:line="260"/>
            </w:pPr>
            <w:r>
              <w:rPr>
                <w:b/>
                <w:bCs/>
                <w:sz w:val="20"/>
                <w:szCs w:val="20"/>
              </w:rPr>
              <w:t xml:space="preserve">Term</w:t>
            </w:r>
          </w:p>
        </w:tc>
        <w:tc>
          <w:tcPr>
            <w:tcW w:type="dxa" w:w="6760"/>
            <w:shd w:fill="E7EAF0" w:color="auto" w:val="clear"/>
            <w:tcMar>
              <w:top w:type="dxa" w:w="90"/>
              <w:left w:type="dxa" w:w="130"/>
              <w:bottom w:type="dxa" w:w="90"/>
              <w:right w:type="dxa" w:w="130"/>
            </w:tcMar>
          </w:tcPr>
          <w:p>
            <w:pPr>
              <w:spacing w:after="0" w:line="260"/>
            </w:pPr>
            <w:r>
              <w:rPr>
                <w:b/>
                <w:bCs/>
                <w:sz w:val="20"/>
                <w:szCs w:val="20"/>
              </w:rPr>
              <w:t xml:space="preserve">Meaning</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Event</w:t>
            </w:r>
          </w:p>
        </w:tc>
        <w:tc>
          <w:tcPr>
            <w:tcW w:type="dxa" w:w="6760"/>
            <w:tcMar>
              <w:top w:type="dxa" w:w="90"/>
              <w:left w:type="dxa" w:w="130"/>
              <w:bottom w:type="dxa" w:w="90"/>
              <w:right w:type="dxa" w:w="130"/>
            </w:tcMar>
          </w:tcPr>
          <w:p>
            <w:pPr>
              <w:spacing w:after="0" w:line="260"/>
            </w:pPr>
            <w:r>
              <w:rPr>
                <w:b w:val="false"/>
                <w:bCs w:val="false"/>
                <w:sz w:val="20"/>
                <w:szCs w:val="20"/>
              </w:rPr>
              <w:t xml:space="preserve">An observable occurrence in a system or network. Most events are not incidents.</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Security incident</w:t>
            </w:r>
          </w:p>
        </w:tc>
        <w:tc>
          <w:tcPr>
            <w:tcW w:type="dxa" w:w="6760"/>
            <w:tcMar>
              <w:top w:type="dxa" w:w="90"/>
              <w:left w:type="dxa" w:w="130"/>
              <w:bottom w:type="dxa" w:w="90"/>
              <w:right w:type="dxa" w:w="130"/>
            </w:tcMar>
          </w:tcPr>
          <w:p>
            <w:pPr>
              <w:spacing w:after="0" w:line="260"/>
            </w:pPr>
            <w:r>
              <w:rPr>
                <w:b w:val="false"/>
                <w:bCs w:val="false"/>
                <w:sz w:val="20"/>
                <w:szCs w:val="20"/>
              </w:rPr>
              <w:t xml:space="preserve">An event, or series of events, that has compromised or is reasonably likely to compromise the confidentiality, integrity or availability of company or customer information, or that constitutes a breach of security policy.</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Personal data breach</w:t>
            </w:r>
          </w:p>
        </w:tc>
        <w:tc>
          <w:tcPr>
            <w:tcW w:type="dxa" w:w="6760"/>
            <w:tcMar>
              <w:top w:type="dxa" w:w="90"/>
              <w:left w:type="dxa" w:w="130"/>
              <w:bottom w:type="dxa" w:w="90"/>
              <w:right w:type="dxa" w:w="130"/>
            </w:tcMar>
          </w:tcPr>
          <w:p>
            <w:pPr>
              <w:spacing w:after="0" w:line="260"/>
            </w:pPr>
            <w:r>
              <w:rPr>
                <w:b w:val="false"/>
                <w:bCs w:val="false"/>
                <w:sz w:val="20"/>
                <w:szCs w:val="20"/>
              </w:rPr>
              <w:t xml:space="preserve">A security incident leading to accidental or unlawful destruction, loss, alteration, unauthorised disclosure of, or access to personal data, as defined in the UK GDPR and applicable US state law.</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Major incident</w:t>
            </w:r>
          </w:p>
        </w:tc>
        <w:tc>
          <w:tcPr>
            <w:tcW w:type="dxa" w:w="6760"/>
            <w:tcMar>
              <w:top w:type="dxa" w:w="90"/>
              <w:left w:type="dxa" w:w="130"/>
              <w:bottom w:type="dxa" w:w="90"/>
              <w:right w:type="dxa" w:w="130"/>
            </w:tcMar>
          </w:tcPr>
          <w:p>
            <w:pPr>
              <w:spacing w:after="0" w:line="260"/>
            </w:pPr>
            <w:r>
              <w:rPr>
                <w:b w:val="false"/>
                <w:bCs w:val="false"/>
                <w:sz w:val="20"/>
                <w:szCs w:val="20"/>
              </w:rPr>
              <w:t xml:space="preserve">An incident assessed at Severity 1 or Severity 2 under section 5.</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Incident Commander</w:t>
            </w:r>
          </w:p>
        </w:tc>
        <w:tc>
          <w:tcPr>
            <w:tcW w:type="dxa" w:w="6760"/>
            <w:tcMar>
              <w:top w:type="dxa" w:w="90"/>
              <w:left w:type="dxa" w:w="130"/>
              <w:bottom w:type="dxa" w:w="90"/>
              <w:right w:type="dxa" w:w="130"/>
            </w:tcMar>
          </w:tcPr>
          <w:p>
            <w:pPr>
              <w:spacing w:after="0" w:line="260"/>
            </w:pPr>
            <w:r>
              <w:rPr>
                <w:b w:val="false"/>
                <w:bCs w:val="false"/>
                <w:sz w:val="20"/>
                <w:szCs w:val="20"/>
              </w:rPr>
              <w:t xml:space="preserve">The individual holding decision authority for the response to a specific incident.</w:t>
            </w:r>
          </w:p>
        </w:tc>
      </w:tr>
    </w:tbl>
    <w:p>
      <w:pPr>
        <w:pStyle w:val="Heading1"/>
        <w:spacing w:after="160" w:before="320"/>
      </w:pPr>
      <w:r>
        <w:t xml:space="preserve">4. Reporting an incident</w:t>
      </w:r>
    </w:p>
    <w:p>
      <w:pPr>
        <w:spacing w:after="140" w:line="276"/>
      </w:pPr>
      <w:r>
        <w:rPr>
          <w:sz w:val="22"/>
          <w:szCs w:val="22"/>
        </w:rPr>
        <w:t xml:space="preserve">Every worker has a duty to report a suspected security incident. Workers are not expected to diagnose or confirm an incident before reporting it; a report made in good faith that turns out to be a false alarm carries no adverse consequence.</w:t>
      </w:r>
    </w:p>
    <w:p>
      <w:pPr>
        <w:pStyle w:val="ListParagraph"/>
        <w:numPr>
          <w:ilvl w:val="0"/>
          <w:numId w:val="2"/>
        </w:numPr>
        <w:spacing w:after="80" w:line="276"/>
      </w:pPr>
      <w:r>
        <w:rPr>
          <w:sz w:val="22"/>
          <w:szCs w:val="22"/>
        </w:rPr>
        <w:t xml:space="preserve">Suspected incidents must be reported to the Security Operations Centre immediately, and in any event within one hour of suspicion, using the Report Security Incident action in the service portal or the security hotline.</w:t>
      </w:r>
    </w:p>
    <w:p>
      <w:pPr>
        <w:pStyle w:val="ListParagraph"/>
        <w:numPr>
          <w:ilvl w:val="0"/>
          <w:numId w:val="2"/>
        </w:numPr>
        <w:spacing w:after="80" w:line="276"/>
      </w:pPr>
      <w:r>
        <w:rPr>
          <w:sz w:val="22"/>
          <w:szCs w:val="22"/>
        </w:rPr>
        <w:t xml:space="preserve">Loss or theft of a device or of removable media must be reported within four hours of discovery.</w:t>
      </w:r>
    </w:p>
    <w:p>
      <w:pPr>
        <w:pStyle w:val="ListParagraph"/>
        <w:numPr>
          <w:ilvl w:val="0"/>
          <w:numId w:val="2"/>
        </w:numPr>
        <w:spacing w:after="80" w:line="276"/>
      </w:pPr>
      <w:r>
        <w:rPr>
          <w:sz w:val="22"/>
          <w:szCs w:val="22"/>
        </w:rPr>
        <w:t xml:space="preserve">Workers must not attempt to investigate, remediate or delete evidence themselves. Affected systems should be left powered on and connected unless the Security Operations Centre directs otherwise, so that volatile evidence is preserved.</w:t>
      </w:r>
    </w:p>
    <w:p>
      <w:pPr>
        <w:pStyle w:val="ListParagraph"/>
        <w:numPr>
          <w:ilvl w:val="0"/>
          <w:numId w:val="2"/>
        </w:numPr>
        <w:spacing w:after="80" w:line="276"/>
      </w:pPr>
      <w:r>
        <w:rPr>
          <w:sz w:val="22"/>
          <w:szCs w:val="22"/>
        </w:rPr>
        <w:t xml:space="preserve">Workers must not discuss a suspected incident outside the response team, and must not post about it on any external platform.</w:t>
      </w:r>
    </w:p>
    <w:p>
      <w:pPr>
        <w:spacing w:after="140" w:line="276"/>
      </w:pPr>
      <w:r>
        <w:rPr>
          <w:sz w:val="22"/>
          <w:szCs w:val="22"/>
        </w:rPr>
        <w:t xml:space="preserve">Third parties are required by contract to notify the company of any incident affecting company data without undue delay and in any case within twenty-four hours of detection. Reports from customers, researchers and members of the public are received through the published security contact address and follow the same triage path.</w:t>
      </w:r>
    </w:p>
    <w:p>
      <w:pPr>
        <w:pStyle w:val="Heading1"/>
        <w:spacing w:after="160" w:before="320"/>
      </w:pPr>
      <w:r>
        <w:t xml:space="preserve">5. Severity classification</w:t>
      </w:r>
    </w:p>
    <w:p>
      <w:pPr>
        <w:spacing w:after="140" w:line="276"/>
      </w:pPr>
      <w:r>
        <w:rPr>
          <w:sz w:val="22"/>
          <w:szCs w:val="22"/>
        </w:rPr>
        <w:t xml:space="preserve">The Security Operations Centre assigns a provisional severity at triage. Severity is reassessed as facts change and may be raised or lowered at any point. Where the assessment is finely balanced, the higher severity is assigned.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250"/>
        <w:gridCol w:w="3200"/>
        <w:gridCol w:w="2400"/>
        <w:gridCol w:w="2510"/>
      </w:tblGrid>
      <w:tr>
        <w:trPr>
          <w:tblHeader/>
        </w:trPr>
        <w:tc>
          <w:tcPr>
            <w:tcW w:type="dxa" w:w="1250"/>
            <w:shd w:fill="E7EAF0" w:color="auto" w:val="clear"/>
            <w:tcMar>
              <w:top w:type="dxa" w:w="90"/>
              <w:left w:type="dxa" w:w="130"/>
              <w:bottom w:type="dxa" w:w="90"/>
              <w:right w:type="dxa" w:w="130"/>
            </w:tcMar>
          </w:tcPr>
          <w:p>
            <w:pPr>
              <w:spacing w:after="0" w:line="260"/>
            </w:pPr>
            <w:r>
              <w:rPr>
                <w:b/>
                <w:bCs/>
                <w:sz w:val="20"/>
                <w:szCs w:val="20"/>
              </w:rPr>
              <w:t xml:space="preserve">Severity</w:t>
            </w:r>
          </w:p>
        </w:tc>
        <w:tc>
          <w:tcPr>
            <w:tcW w:type="dxa" w:w="3200"/>
            <w:shd w:fill="E7EAF0" w:color="auto" w:val="clear"/>
            <w:tcMar>
              <w:top w:type="dxa" w:w="90"/>
              <w:left w:type="dxa" w:w="130"/>
              <w:bottom w:type="dxa" w:w="90"/>
              <w:right w:type="dxa" w:w="130"/>
            </w:tcMar>
          </w:tcPr>
          <w:p>
            <w:pPr>
              <w:spacing w:after="0" w:line="260"/>
            </w:pPr>
            <w:r>
              <w:rPr>
                <w:b/>
                <w:bCs/>
                <w:sz w:val="20"/>
                <w:szCs w:val="20"/>
              </w:rPr>
              <w:t xml:space="preserve">Criteria</w:t>
            </w:r>
          </w:p>
        </w:tc>
        <w:tc>
          <w:tcPr>
            <w:tcW w:type="dxa" w:w="2400"/>
            <w:shd w:fill="E7EAF0" w:color="auto" w:val="clear"/>
            <w:tcMar>
              <w:top w:type="dxa" w:w="90"/>
              <w:left w:type="dxa" w:w="130"/>
              <w:bottom w:type="dxa" w:w="90"/>
              <w:right w:type="dxa" w:w="130"/>
            </w:tcMar>
          </w:tcPr>
          <w:p>
            <w:pPr>
              <w:spacing w:after="0" w:line="260"/>
            </w:pPr>
            <w:r>
              <w:rPr>
                <w:b/>
                <w:bCs/>
                <w:sz w:val="20"/>
                <w:szCs w:val="20"/>
              </w:rPr>
              <w:t xml:space="preserve">Response initiation</w:t>
            </w:r>
          </w:p>
        </w:tc>
        <w:tc>
          <w:tcPr>
            <w:tcW w:type="dxa" w:w="2510"/>
            <w:shd w:fill="E7EAF0" w:color="auto" w:val="clear"/>
            <w:tcMar>
              <w:top w:type="dxa" w:w="90"/>
              <w:left w:type="dxa" w:w="130"/>
              <w:bottom w:type="dxa" w:w="90"/>
              <w:right w:type="dxa" w:w="130"/>
            </w:tcMar>
          </w:tcPr>
          <w:p>
            <w:pPr>
              <w:spacing w:after="0" w:line="260"/>
            </w:pPr>
            <w:r>
              <w:rPr>
                <w:b/>
                <w:bCs/>
                <w:sz w:val="20"/>
                <w:szCs w:val="20"/>
              </w:rPr>
              <w:t xml:space="preserve">Escalation</w:t>
            </w:r>
          </w:p>
        </w:tc>
      </w:tr>
      <w:tr>
        <w:trPr>
          <w:tblHeader w:val="false"/>
        </w:trPr>
        <w:tc>
          <w:tcPr>
            <w:tcW w:type="dxa" w:w="1250"/>
            <w:tcMar>
              <w:top w:type="dxa" w:w="90"/>
              <w:left w:type="dxa" w:w="130"/>
              <w:bottom w:type="dxa" w:w="90"/>
              <w:right w:type="dxa" w:w="130"/>
            </w:tcMar>
          </w:tcPr>
          <w:p>
            <w:pPr>
              <w:spacing w:after="0" w:line="260"/>
            </w:pPr>
            <w:r>
              <w:rPr>
                <w:b w:val="false"/>
                <w:bCs w:val="false"/>
                <w:sz w:val="20"/>
                <w:szCs w:val="20"/>
              </w:rPr>
              <w:t xml:space="preserve">S1 — Critical</w:t>
            </w:r>
          </w:p>
        </w:tc>
        <w:tc>
          <w:tcPr>
            <w:tcW w:type="dxa" w:w="3200"/>
            <w:tcMar>
              <w:top w:type="dxa" w:w="90"/>
              <w:left w:type="dxa" w:w="130"/>
              <w:bottom w:type="dxa" w:w="90"/>
              <w:right w:type="dxa" w:w="130"/>
            </w:tcMar>
          </w:tcPr>
          <w:p>
            <w:pPr>
              <w:spacing w:after="0" w:line="260"/>
            </w:pPr>
            <w:r>
              <w:rPr>
                <w:b w:val="false"/>
                <w:bCs w:val="false"/>
                <w:sz w:val="20"/>
                <w:szCs w:val="20"/>
              </w:rPr>
              <w:t xml:space="preserve">Confirmed compromise of production payment or lending systems; confirmed exfiltration of cardholder or personal data at scale; ransomware affecting production; sustained outage of a customer-facing service.</w:t>
            </w:r>
          </w:p>
        </w:tc>
        <w:tc>
          <w:tcPr>
            <w:tcW w:type="dxa" w:w="2400"/>
            <w:tcMar>
              <w:top w:type="dxa" w:w="90"/>
              <w:left w:type="dxa" w:w="130"/>
              <w:bottom w:type="dxa" w:w="90"/>
              <w:right w:type="dxa" w:w="130"/>
            </w:tcMar>
          </w:tcPr>
          <w:p>
            <w:pPr>
              <w:spacing w:after="0" w:line="260"/>
            </w:pPr>
            <w:r>
              <w:rPr>
                <w:b w:val="false"/>
                <w:bCs w:val="false"/>
                <w:sz w:val="20"/>
                <w:szCs w:val="20"/>
              </w:rPr>
              <w:t xml:space="preserve">Immediate, 24/7</w:t>
            </w:r>
          </w:p>
        </w:tc>
        <w:tc>
          <w:tcPr>
            <w:tcW w:type="dxa" w:w="2510"/>
            <w:tcMar>
              <w:top w:type="dxa" w:w="90"/>
              <w:left w:type="dxa" w:w="130"/>
              <w:bottom w:type="dxa" w:w="90"/>
              <w:right w:type="dxa" w:w="130"/>
            </w:tcMar>
          </w:tcPr>
          <w:p>
            <w:pPr>
              <w:spacing w:after="0" w:line="260"/>
            </w:pPr>
            <w:r>
              <w:rPr>
                <w:b w:val="false"/>
                <w:bCs w:val="false"/>
                <w:sz w:val="20"/>
                <w:szCs w:val="20"/>
              </w:rPr>
              <w:t xml:space="preserve">CISO, CEO, CFO, General Counsel, Executive Risk Committee, Board notification</w:t>
            </w:r>
          </w:p>
        </w:tc>
      </w:tr>
      <w:tr>
        <w:trPr>
          <w:tblHeader w:val="false"/>
        </w:trPr>
        <w:tc>
          <w:tcPr>
            <w:tcW w:type="dxa" w:w="1250"/>
            <w:tcMar>
              <w:top w:type="dxa" w:w="90"/>
              <w:left w:type="dxa" w:w="130"/>
              <w:bottom w:type="dxa" w:w="90"/>
              <w:right w:type="dxa" w:w="130"/>
            </w:tcMar>
          </w:tcPr>
          <w:p>
            <w:pPr>
              <w:spacing w:after="0" w:line="260"/>
            </w:pPr>
            <w:r>
              <w:rPr>
                <w:b w:val="false"/>
                <w:bCs w:val="false"/>
                <w:sz w:val="20"/>
                <w:szCs w:val="20"/>
              </w:rPr>
              <w:t xml:space="preserve">S2 — High</w:t>
            </w:r>
          </w:p>
        </w:tc>
        <w:tc>
          <w:tcPr>
            <w:tcW w:type="dxa" w:w="3200"/>
            <w:tcMar>
              <w:top w:type="dxa" w:w="90"/>
              <w:left w:type="dxa" w:w="130"/>
              <w:bottom w:type="dxa" w:w="90"/>
              <w:right w:type="dxa" w:w="130"/>
            </w:tcMar>
          </w:tcPr>
          <w:p>
            <w:pPr>
              <w:spacing w:after="0" w:line="260"/>
            </w:pPr>
            <w:r>
              <w:rPr>
                <w:b w:val="false"/>
                <w:bCs w:val="false"/>
                <w:sz w:val="20"/>
                <w:szCs w:val="20"/>
              </w:rPr>
              <w:t xml:space="preserve">Compromise of a privileged account; malware on a server; exposure of Confidential data to an unauthorised party; material supplier breach affecting company data.</w:t>
            </w:r>
          </w:p>
        </w:tc>
        <w:tc>
          <w:tcPr>
            <w:tcW w:type="dxa" w:w="2400"/>
            <w:tcMar>
              <w:top w:type="dxa" w:w="90"/>
              <w:left w:type="dxa" w:w="130"/>
              <w:bottom w:type="dxa" w:w="90"/>
              <w:right w:type="dxa" w:w="130"/>
            </w:tcMar>
          </w:tcPr>
          <w:p>
            <w:pPr>
              <w:spacing w:after="0" w:line="260"/>
            </w:pPr>
            <w:r>
              <w:rPr>
                <w:b w:val="false"/>
                <w:bCs w:val="false"/>
                <w:sz w:val="20"/>
                <w:szCs w:val="20"/>
              </w:rPr>
              <w:t xml:space="preserve">Within 30 minutes, 24/7</w:t>
            </w:r>
          </w:p>
        </w:tc>
        <w:tc>
          <w:tcPr>
            <w:tcW w:type="dxa" w:w="2510"/>
            <w:tcMar>
              <w:top w:type="dxa" w:w="90"/>
              <w:left w:type="dxa" w:w="130"/>
              <w:bottom w:type="dxa" w:w="90"/>
              <w:right w:type="dxa" w:w="130"/>
            </w:tcMar>
          </w:tcPr>
          <w:p>
            <w:pPr>
              <w:spacing w:after="0" w:line="260"/>
            </w:pPr>
            <w:r>
              <w:rPr>
                <w:b w:val="false"/>
                <w:bCs w:val="false"/>
                <w:sz w:val="20"/>
                <w:szCs w:val="20"/>
              </w:rPr>
              <w:t xml:space="preserve">CISO, General Counsel, affected executive owner</w:t>
            </w:r>
          </w:p>
        </w:tc>
      </w:tr>
      <w:tr>
        <w:trPr>
          <w:tblHeader w:val="false"/>
        </w:trPr>
        <w:tc>
          <w:tcPr>
            <w:tcW w:type="dxa" w:w="1250"/>
            <w:tcMar>
              <w:top w:type="dxa" w:w="90"/>
              <w:left w:type="dxa" w:w="130"/>
              <w:bottom w:type="dxa" w:w="90"/>
              <w:right w:type="dxa" w:w="130"/>
            </w:tcMar>
          </w:tcPr>
          <w:p>
            <w:pPr>
              <w:spacing w:after="0" w:line="260"/>
            </w:pPr>
            <w:r>
              <w:rPr>
                <w:b w:val="false"/>
                <w:bCs w:val="false"/>
                <w:sz w:val="20"/>
                <w:szCs w:val="20"/>
              </w:rPr>
              <w:t xml:space="preserve">S3 — Medium</w:t>
            </w:r>
          </w:p>
        </w:tc>
        <w:tc>
          <w:tcPr>
            <w:tcW w:type="dxa" w:w="3200"/>
            <w:tcMar>
              <w:top w:type="dxa" w:w="90"/>
              <w:left w:type="dxa" w:w="130"/>
              <w:bottom w:type="dxa" w:w="90"/>
              <w:right w:type="dxa" w:w="130"/>
            </w:tcMar>
          </w:tcPr>
          <w:p>
            <w:pPr>
              <w:spacing w:after="0" w:line="260"/>
            </w:pPr>
            <w:r>
              <w:rPr>
                <w:b w:val="false"/>
                <w:bCs w:val="false"/>
                <w:sz w:val="20"/>
                <w:szCs w:val="20"/>
              </w:rPr>
              <w:t xml:space="preserve">Compromise of a standard user account; targeted phishing with credential entry; isolated malware on an endpoint; policy breach with limited exposure.</w:t>
            </w:r>
          </w:p>
        </w:tc>
        <w:tc>
          <w:tcPr>
            <w:tcW w:type="dxa" w:w="2400"/>
            <w:tcMar>
              <w:top w:type="dxa" w:w="90"/>
              <w:left w:type="dxa" w:w="130"/>
              <w:bottom w:type="dxa" w:w="90"/>
              <w:right w:type="dxa" w:w="130"/>
            </w:tcMar>
          </w:tcPr>
          <w:p>
            <w:pPr>
              <w:spacing w:after="0" w:line="260"/>
            </w:pPr>
            <w:r>
              <w:rPr>
                <w:b w:val="false"/>
                <w:bCs w:val="false"/>
                <w:sz w:val="20"/>
                <w:szCs w:val="20"/>
              </w:rPr>
              <w:t xml:space="preserve">Within 4 business hours</w:t>
            </w:r>
          </w:p>
        </w:tc>
        <w:tc>
          <w:tcPr>
            <w:tcW w:type="dxa" w:w="2510"/>
            <w:tcMar>
              <w:top w:type="dxa" w:w="90"/>
              <w:left w:type="dxa" w:w="130"/>
              <w:bottom w:type="dxa" w:w="90"/>
              <w:right w:type="dxa" w:w="130"/>
            </w:tcMar>
          </w:tcPr>
          <w:p>
            <w:pPr>
              <w:spacing w:after="0" w:line="260"/>
            </w:pPr>
            <w:r>
              <w:rPr>
                <w:b w:val="false"/>
                <w:bCs w:val="false"/>
                <w:sz w:val="20"/>
                <w:szCs w:val="20"/>
              </w:rPr>
              <w:t xml:space="preserve">Head of Security Operations</w:t>
            </w:r>
          </w:p>
        </w:tc>
      </w:tr>
      <w:tr>
        <w:trPr>
          <w:tblHeader w:val="false"/>
        </w:trPr>
        <w:tc>
          <w:tcPr>
            <w:tcW w:type="dxa" w:w="1250"/>
            <w:tcMar>
              <w:top w:type="dxa" w:w="90"/>
              <w:left w:type="dxa" w:w="130"/>
              <w:bottom w:type="dxa" w:w="90"/>
              <w:right w:type="dxa" w:w="130"/>
            </w:tcMar>
          </w:tcPr>
          <w:p>
            <w:pPr>
              <w:spacing w:after="0" w:line="260"/>
            </w:pPr>
            <w:r>
              <w:rPr>
                <w:b w:val="false"/>
                <w:bCs w:val="false"/>
                <w:sz w:val="20"/>
                <w:szCs w:val="20"/>
              </w:rPr>
              <w:t xml:space="preserve">S4 — Low</w:t>
            </w:r>
          </w:p>
        </w:tc>
        <w:tc>
          <w:tcPr>
            <w:tcW w:type="dxa" w:w="3200"/>
            <w:tcMar>
              <w:top w:type="dxa" w:w="90"/>
              <w:left w:type="dxa" w:w="130"/>
              <w:bottom w:type="dxa" w:w="90"/>
              <w:right w:type="dxa" w:w="130"/>
            </w:tcMar>
          </w:tcPr>
          <w:p>
            <w:pPr>
              <w:spacing w:after="0" w:line="260"/>
            </w:pPr>
            <w:r>
              <w:rPr>
                <w:b w:val="false"/>
                <w:bCs w:val="false"/>
                <w:sz w:val="20"/>
                <w:szCs w:val="20"/>
              </w:rPr>
              <w:t xml:space="preserve">Blocked or unsuccessful attack; single-user phishing report with no interaction; minor policy breach with no data exposure.</w:t>
            </w:r>
          </w:p>
        </w:tc>
        <w:tc>
          <w:tcPr>
            <w:tcW w:type="dxa" w:w="2400"/>
            <w:tcMar>
              <w:top w:type="dxa" w:w="90"/>
              <w:left w:type="dxa" w:w="130"/>
              <w:bottom w:type="dxa" w:w="90"/>
              <w:right w:type="dxa" w:w="130"/>
            </w:tcMar>
          </w:tcPr>
          <w:p>
            <w:pPr>
              <w:spacing w:after="0" w:line="260"/>
            </w:pPr>
            <w:r>
              <w:rPr>
                <w:b w:val="false"/>
                <w:bCs w:val="false"/>
                <w:sz w:val="20"/>
                <w:szCs w:val="20"/>
              </w:rPr>
              <w:t xml:space="preserve">Within 2 business days</w:t>
            </w:r>
          </w:p>
        </w:tc>
        <w:tc>
          <w:tcPr>
            <w:tcW w:type="dxa" w:w="2510"/>
            <w:tcMar>
              <w:top w:type="dxa" w:w="90"/>
              <w:left w:type="dxa" w:w="130"/>
              <w:bottom w:type="dxa" w:w="90"/>
              <w:right w:type="dxa" w:w="130"/>
            </w:tcMar>
          </w:tcPr>
          <w:p>
            <w:pPr>
              <w:spacing w:after="0" w:line="260"/>
            </w:pPr>
            <w:r>
              <w:rPr>
                <w:b w:val="false"/>
                <w:bCs w:val="false"/>
                <w:sz w:val="20"/>
                <w:szCs w:val="20"/>
              </w:rPr>
              <w:t xml:space="preserve">Security analyst; reported in monthly metrics</w:t>
            </w:r>
          </w:p>
        </w:tc>
      </w:tr>
    </w:tbl>
    <w:p>
      <w:pPr>
        <w:pStyle w:val="Heading1"/>
        <w:spacing w:after="160" w:before="320"/>
      </w:pPr>
      <w:r>
        <w:t xml:space="preserve">6. Response process</w:t>
      </w:r>
    </w:p>
    <w:p>
      <w:pPr>
        <w:spacing w:after="140" w:line="276"/>
      </w:pPr>
      <w:r>
        <w:rPr>
          <w:sz w:val="22"/>
          <w:szCs w:val="22"/>
        </w:rPr>
        <w:t xml:space="preserve">The company follows a six-phase lifecycle aligned to NIST SP 800-61. Phases overlap in practice; the sequence below describes obligations, not a strictly linear timeline.</w:t>
      </w:r>
    </w:p>
    <w:p>
      <w:pPr>
        <w:pStyle w:val="Heading2"/>
        <w:spacing w:after="120" w:before="240"/>
      </w:pPr>
      <w:r>
        <w:t xml:space="preserve">6.1 Preparation</w:t>
      </w:r>
    </w:p>
    <w:p>
      <w:pPr>
        <w:pStyle w:val="ListParagraph"/>
        <w:numPr>
          <w:ilvl w:val="0"/>
          <w:numId w:val="2"/>
        </w:numPr>
        <w:spacing w:after="80" w:line="276"/>
      </w:pPr>
      <w:r>
        <w:rPr>
          <w:sz w:val="22"/>
          <w:szCs w:val="22"/>
        </w:rPr>
        <w:t xml:space="preserve">The Security Operations Centre maintains detection coverage, response runbooks, an out-of-band communications channel, and a retainer with an external digital forensics and incident response provider.</w:t>
      </w:r>
    </w:p>
    <w:p>
      <w:pPr>
        <w:pStyle w:val="ListParagraph"/>
        <w:numPr>
          <w:ilvl w:val="0"/>
          <w:numId w:val="2"/>
        </w:numPr>
        <w:spacing w:after="80" w:line="276"/>
      </w:pPr>
      <w:r>
        <w:rPr>
          <w:sz w:val="22"/>
          <w:szCs w:val="22"/>
        </w:rPr>
        <w:t xml:space="preserve">Response roles are named in advance with designated deputies, and the roster is reviewed quarterly.</w:t>
      </w:r>
    </w:p>
    <w:p>
      <w:pPr>
        <w:pStyle w:val="ListParagraph"/>
        <w:numPr>
          <w:ilvl w:val="0"/>
          <w:numId w:val="2"/>
        </w:numPr>
        <w:spacing w:after="80" w:line="276"/>
      </w:pPr>
      <w:r>
        <w:rPr>
          <w:sz w:val="22"/>
          <w:szCs w:val="22"/>
        </w:rPr>
        <w:t xml:space="preserve">Tabletop exercises are run at least twice a year, one of which must involve executive participants and one of which must include a supplier compromise scenario.</w:t>
      </w:r>
    </w:p>
    <w:p>
      <w:pPr>
        <w:pStyle w:val="Heading2"/>
        <w:spacing w:after="120" w:before="240"/>
      </w:pPr>
      <w:r>
        <w:t xml:space="preserve">6.2 Detection and analysis</w:t>
      </w:r>
    </w:p>
    <w:p>
      <w:pPr>
        <w:pStyle w:val="ListParagraph"/>
        <w:numPr>
          <w:ilvl w:val="0"/>
          <w:numId w:val="2"/>
        </w:numPr>
        <w:spacing w:after="80" w:line="276"/>
      </w:pPr>
      <w:r>
        <w:rPr>
          <w:sz w:val="22"/>
          <w:szCs w:val="22"/>
        </w:rPr>
        <w:t xml:space="preserve">Alerts, worker reports, third-party notifications and external disclosures are triaged by the Security Operations Centre against documented criteria.</w:t>
      </w:r>
    </w:p>
    <w:p>
      <w:pPr>
        <w:pStyle w:val="ListParagraph"/>
        <w:numPr>
          <w:ilvl w:val="0"/>
          <w:numId w:val="2"/>
        </w:numPr>
        <w:spacing w:after="80" w:line="276"/>
      </w:pPr>
      <w:r>
        <w:rPr>
          <w:sz w:val="22"/>
          <w:szCs w:val="22"/>
        </w:rPr>
        <w:t xml:space="preserve">A ticket is raised for every suspected incident and becomes the single record for the response.</w:t>
      </w:r>
    </w:p>
    <w:p>
      <w:pPr>
        <w:pStyle w:val="ListParagraph"/>
        <w:numPr>
          <w:ilvl w:val="0"/>
          <w:numId w:val="2"/>
        </w:numPr>
        <w:spacing w:after="80" w:line="276"/>
      </w:pPr>
      <w:r>
        <w:rPr>
          <w:sz w:val="22"/>
          <w:szCs w:val="22"/>
        </w:rPr>
        <w:t xml:space="preserve">Analysts establish scope, entry vector, affected assets and data, and whether the activity is ongoing.</w:t>
      </w:r>
    </w:p>
    <w:p>
      <w:pPr>
        <w:pStyle w:val="ListParagraph"/>
        <w:numPr>
          <w:ilvl w:val="0"/>
          <w:numId w:val="2"/>
        </w:numPr>
        <w:spacing w:after="80" w:line="276"/>
      </w:pPr>
      <w:r>
        <w:rPr>
          <w:sz w:val="22"/>
          <w:szCs w:val="22"/>
        </w:rPr>
        <w:t xml:space="preserve">For any incident at S2 or above, an Incident Commander is appointed and a bridge is opened.</w:t>
      </w:r>
    </w:p>
    <w:p>
      <w:pPr>
        <w:pStyle w:val="Heading2"/>
        <w:spacing w:after="120" w:before="240"/>
      </w:pPr>
      <w:r>
        <w:t xml:space="preserve">6.3 Containment</w:t>
      </w:r>
    </w:p>
    <w:p>
      <w:pPr>
        <w:pStyle w:val="ListParagraph"/>
        <w:numPr>
          <w:ilvl w:val="0"/>
          <w:numId w:val="2"/>
        </w:numPr>
        <w:spacing w:after="80" w:line="276"/>
      </w:pPr>
      <w:r>
        <w:rPr>
          <w:sz w:val="22"/>
          <w:szCs w:val="22"/>
        </w:rPr>
        <w:t xml:space="preserve">Short-term containment isolates affected systems and revokes compromised credentials and sessions to stop the immediate spread.</w:t>
      </w:r>
    </w:p>
    <w:p>
      <w:pPr>
        <w:pStyle w:val="ListParagraph"/>
        <w:numPr>
          <w:ilvl w:val="0"/>
          <w:numId w:val="2"/>
        </w:numPr>
        <w:spacing w:after="80" w:line="276"/>
      </w:pPr>
      <w:r>
        <w:rPr>
          <w:sz w:val="22"/>
          <w:szCs w:val="22"/>
        </w:rPr>
        <w:t xml:space="preserve">The Incident Commander weighs containment against evidence preservation and service continuity, and records the rationale for the approach taken.</w:t>
      </w:r>
    </w:p>
    <w:p>
      <w:pPr>
        <w:pStyle w:val="ListParagraph"/>
        <w:numPr>
          <w:ilvl w:val="0"/>
          <w:numId w:val="2"/>
        </w:numPr>
        <w:spacing w:after="80" w:line="276"/>
      </w:pPr>
      <w:r>
        <w:rPr>
          <w:sz w:val="22"/>
          <w:szCs w:val="22"/>
        </w:rPr>
        <w:t xml:space="preserve">Decisions to take a customer-facing service offline require the Incident Commander and the accountable executive owner jointly.</w:t>
      </w:r>
    </w:p>
    <w:p>
      <w:pPr>
        <w:pStyle w:val="ListParagraph"/>
        <w:numPr>
          <w:ilvl w:val="0"/>
          <w:numId w:val="2"/>
        </w:numPr>
        <w:spacing w:after="80" w:line="276"/>
      </w:pPr>
      <w:r>
        <w:rPr>
          <w:sz w:val="22"/>
          <w:szCs w:val="22"/>
        </w:rPr>
        <w:t xml:space="preserve">Forensic images and log exports are taken before systems are rebuilt, and are held under a documented chain of custody.</w:t>
      </w:r>
    </w:p>
    <w:p>
      <w:pPr>
        <w:pStyle w:val="Heading2"/>
        <w:spacing w:after="120" w:before="240"/>
      </w:pPr>
      <w:r>
        <w:t xml:space="preserve">6.4 Eradication</w:t>
      </w:r>
    </w:p>
    <w:p>
      <w:pPr>
        <w:pStyle w:val="ListParagraph"/>
        <w:numPr>
          <w:ilvl w:val="0"/>
          <w:numId w:val="2"/>
        </w:numPr>
        <w:spacing w:after="80" w:line="276"/>
      </w:pPr>
      <w:r>
        <w:rPr>
          <w:sz w:val="22"/>
          <w:szCs w:val="22"/>
        </w:rPr>
        <w:t xml:space="preserve">The root cause is identified and removed. Affected hosts are rebuilt from known-good images rather than cleaned in place.</w:t>
      </w:r>
    </w:p>
    <w:p>
      <w:pPr>
        <w:pStyle w:val="ListParagraph"/>
        <w:numPr>
          <w:ilvl w:val="0"/>
          <w:numId w:val="2"/>
        </w:numPr>
        <w:spacing w:after="80" w:line="276"/>
      </w:pPr>
      <w:r>
        <w:rPr>
          <w:sz w:val="22"/>
          <w:szCs w:val="22"/>
        </w:rPr>
        <w:t xml:space="preserve">All credentials, keys, tokens and secrets exposed or potentially exposed are rotated.</w:t>
      </w:r>
    </w:p>
    <w:p>
      <w:pPr>
        <w:pStyle w:val="ListParagraph"/>
        <w:numPr>
          <w:ilvl w:val="0"/>
          <w:numId w:val="2"/>
        </w:numPr>
        <w:spacing w:after="80" w:line="276"/>
      </w:pPr>
      <w:r>
        <w:rPr>
          <w:sz w:val="22"/>
          <w:szCs w:val="22"/>
        </w:rPr>
        <w:t xml:space="preserve">The exploited vulnerability or control gap is remediated, and the fix is verified independently of the engineer who applied it.</w:t>
      </w:r>
    </w:p>
    <w:p>
      <w:pPr>
        <w:pStyle w:val="Heading2"/>
        <w:spacing w:after="120" w:before="240"/>
      </w:pPr>
      <w:r>
        <w:t xml:space="preserve">6.5 Recovery</w:t>
      </w:r>
    </w:p>
    <w:p>
      <w:pPr>
        <w:pStyle w:val="ListParagraph"/>
        <w:numPr>
          <w:ilvl w:val="0"/>
          <w:numId w:val="2"/>
        </w:numPr>
        <w:spacing w:after="80" w:line="276"/>
      </w:pPr>
      <w:r>
        <w:rPr>
          <w:sz w:val="22"/>
          <w:szCs w:val="22"/>
        </w:rPr>
        <w:t xml:space="preserve">Systems are restored to production in a controlled sequence with heightened monitoring for a period defined by the Incident Commander and not less than fourteen days.</w:t>
      </w:r>
    </w:p>
    <w:p>
      <w:pPr>
        <w:pStyle w:val="ListParagraph"/>
        <w:numPr>
          <w:ilvl w:val="0"/>
          <w:numId w:val="2"/>
        </w:numPr>
        <w:spacing w:after="80" w:line="276"/>
      </w:pPr>
      <w:r>
        <w:rPr>
          <w:sz w:val="22"/>
          <w:szCs w:val="22"/>
        </w:rPr>
        <w:t xml:space="preserve">The Incident Commander formally declares the incident closed only when eradication is verified and no indicators of continued compromise remain.</w:t>
      </w:r>
    </w:p>
    <w:p>
      <w:pPr>
        <w:pStyle w:val="Heading2"/>
        <w:spacing w:after="120" w:before="240"/>
      </w:pPr>
      <w:r>
        <w:t xml:space="preserve">6.6 Post-incident review</w:t>
      </w:r>
    </w:p>
    <w:p>
      <w:pPr>
        <w:pStyle w:val="ListParagraph"/>
        <w:numPr>
          <w:ilvl w:val="0"/>
          <w:numId w:val="2"/>
        </w:numPr>
        <w:spacing w:after="80" w:line="276"/>
      </w:pPr>
      <w:r>
        <w:rPr>
          <w:sz w:val="22"/>
          <w:szCs w:val="22"/>
        </w:rPr>
        <w:t xml:space="preserve">A review is mandatory for all S1 and S2 incidents and for any S3 incident where the Head of Security Operations considers there is learning to capture.</w:t>
      </w:r>
    </w:p>
    <w:p>
      <w:pPr>
        <w:pStyle w:val="ListParagraph"/>
        <w:numPr>
          <w:ilvl w:val="0"/>
          <w:numId w:val="2"/>
        </w:numPr>
        <w:spacing w:after="80" w:line="276"/>
      </w:pPr>
      <w:r>
        <w:rPr>
          <w:sz w:val="22"/>
          <w:szCs w:val="22"/>
        </w:rPr>
        <w:t xml:space="preserve">The review is held within ten business days of closure and is blameless in conduct: it examines the conditions that permitted the incident, not individual fault.</w:t>
      </w:r>
    </w:p>
    <w:p>
      <w:pPr>
        <w:pStyle w:val="ListParagraph"/>
        <w:numPr>
          <w:ilvl w:val="0"/>
          <w:numId w:val="2"/>
        </w:numPr>
        <w:spacing w:after="80" w:line="276"/>
      </w:pPr>
      <w:r>
        <w:rPr>
          <w:sz w:val="22"/>
          <w:szCs w:val="22"/>
        </w:rPr>
        <w:t xml:space="preserve">Actions are assigned to named owners with due dates, tracked to completion in the risk and issues register, and reported to the Executive Risk Committee monthly until closed.</w:t>
      </w:r>
    </w:p>
    <w:p>
      <w:pPr>
        <w:pStyle w:val="Heading1"/>
        <w:spacing w:after="160" w:before="320"/>
      </w:pPr>
      <w:r>
        <w:t xml:space="preserve">7. Notification and regulatory obligations</w:t>
      </w:r>
    </w:p>
    <w:p>
      <w:pPr>
        <w:spacing w:after="140" w:line="276"/>
      </w:pPr>
      <w:r>
        <w:rPr>
          <w:sz w:val="22"/>
          <w:szCs w:val="22"/>
        </w:rPr>
        <w:t xml:space="preserve">The General Counsel determines, on advice from Compliance and the Data Protection Officer, whether an incident triggers a notification obligation. The determination and its reasoning are recorded whether or not notification results.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300"/>
        <w:gridCol w:w="4660"/>
      </w:tblGrid>
      <w:tr>
        <w:trPr>
          <w:tblHeader/>
        </w:trPr>
        <w:tc>
          <w:tcPr>
            <w:tcW w:type="dxa" w:w="2400"/>
            <w:shd w:fill="E7EAF0" w:color="auto" w:val="clear"/>
            <w:tcMar>
              <w:top w:type="dxa" w:w="90"/>
              <w:left w:type="dxa" w:w="130"/>
              <w:bottom w:type="dxa" w:w="90"/>
              <w:right w:type="dxa" w:w="130"/>
            </w:tcMar>
          </w:tcPr>
          <w:p>
            <w:pPr>
              <w:spacing w:after="0" w:line="260"/>
            </w:pPr>
            <w:r>
              <w:rPr>
                <w:b/>
                <w:bCs/>
                <w:sz w:val="20"/>
                <w:szCs w:val="20"/>
              </w:rPr>
              <w:t xml:space="preserve">Obligation</w:t>
            </w:r>
          </w:p>
        </w:tc>
        <w:tc>
          <w:tcPr>
            <w:tcW w:type="dxa" w:w="2300"/>
            <w:shd w:fill="E7EAF0" w:color="auto" w:val="clear"/>
            <w:tcMar>
              <w:top w:type="dxa" w:w="90"/>
              <w:left w:type="dxa" w:w="130"/>
              <w:bottom w:type="dxa" w:w="90"/>
              <w:right w:type="dxa" w:w="130"/>
            </w:tcMar>
          </w:tcPr>
          <w:p>
            <w:pPr>
              <w:spacing w:after="0" w:line="260"/>
            </w:pPr>
            <w:r>
              <w:rPr>
                <w:b/>
                <w:bCs/>
                <w:sz w:val="20"/>
                <w:szCs w:val="20"/>
              </w:rPr>
              <w:t xml:space="preserve">Deadline</w:t>
            </w:r>
          </w:p>
        </w:tc>
        <w:tc>
          <w:tcPr>
            <w:tcW w:type="dxa" w:w="4660"/>
            <w:shd w:fill="E7EAF0" w:color="auto" w:val="clear"/>
            <w:tcMar>
              <w:top w:type="dxa" w:w="90"/>
              <w:left w:type="dxa" w:w="130"/>
              <w:bottom w:type="dxa" w:w="90"/>
              <w:right w:type="dxa" w:w="130"/>
            </w:tcMar>
          </w:tcPr>
          <w:p>
            <w:pPr>
              <w:spacing w:after="0" w:line="260"/>
            </w:pPr>
            <w:r>
              <w:rPr>
                <w:b/>
                <w:bCs/>
                <w:sz w:val="20"/>
                <w:szCs w:val="20"/>
              </w:rPr>
              <w:t xml:space="preserve">Trigger and route</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UK GDPR — supervisory authority</w:t>
            </w:r>
          </w:p>
        </w:tc>
        <w:tc>
          <w:tcPr>
            <w:tcW w:type="dxa" w:w="2300"/>
            <w:tcMar>
              <w:top w:type="dxa" w:w="90"/>
              <w:left w:type="dxa" w:w="130"/>
              <w:bottom w:type="dxa" w:w="90"/>
              <w:right w:type="dxa" w:w="130"/>
            </w:tcMar>
          </w:tcPr>
          <w:p>
            <w:pPr>
              <w:spacing w:after="0" w:line="260"/>
            </w:pPr>
            <w:r>
              <w:rPr>
                <w:b w:val="false"/>
                <w:bCs w:val="false"/>
                <w:sz w:val="20"/>
                <w:szCs w:val="20"/>
              </w:rPr>
              <w:t xml:space="preserve">72 hours from awareness</w:t>
            </w:r>
          </w:p>
        </w:tc>
        <w:tc>
          <w:tcPr>
            <w:tcW w:type="dxa" w:w="4660"/>
            <w:tcMar>
              <w:top w:type="dxa" w:w="90"/>
              <w:left w:type="dxa" w:w="130"/>
              <w:bottom w:type="dxa" w:w="90"/>
              <w:right w:type="dxa" w:w="130"/>
            </w:tcMar>
          </w:tcPr>
          <w:p>
            <w:pPr>
              <w:spacing w:after="0" w:line="260"/>
            </w:pPr>
            <w:r>
              <w:rPr>
                <w:b w:val="false"/>
                <w:bCs w:val="false"/>
                <w:sz w:val="20"/>
                <w:szCs w:val="20"/>
              </w:rPr>
              <w:t xml:space="preserve">Personal data breach likely to result in a risk to individuals. Notified to the Information Commissioner’s Office by the Data Protection Officer.</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UK GDPR — data subjects</w:t>
            </w:r>
          </w:p>
        </w:tc>
        <w:tc>
          <w:tcPr>
            <w:tcW w:type="dxa" w:w="2300"/>
            <w:tcMar>
              <w:top w:type="dxa" w:w="90"/>
              <w:left w:type="dxa" w:w="130"/>
              <w:bottom w:type="dxa" w:w="90"/>
              <w:right w:type="dxa" w:w="130"/>
            </w:tcMar>
          </w:tcPr>
          <w:p>
            <w:pPr>
              <w:spacing w:after="0" w:line="260"/>
            </w:pPr>
            <w:r>
              <w:rPr>
                <w:b w:val="false"/>
                <w:bCs w:val="false"/>
                <w:sz w:val="20"/>
                <w:szCs w:val="20"/>
              </w:rPr>
              <w:t xml:space="preserve">Without undue delay</w:t>
            </w:r>
          </w:p>
        </w:tc>
        <w:tc>
          <w:tcPr>
            <w:tcW w:type="dxa" w:w="4660"/>
            <w:tcMar>
              <w:top w:type="dxa" w:w="90"/>
              <w:left w:type="dxa" w:w="130"/>
              <w:bottom w:type="dxa" w:w="90"/>
              <w:right w:type="dxa" w:w="130"/>
            </w:tcMar>
          </w:tcPr>
          <w:p>
            <w:pPr>
              <w:spacing w:after="0" w:line="260"/>
            </w:pPr>
            <w:r>
              <w:rPr>
                <w:b w:val="false"/>
                <w:bCs w:val="false"/>
                <w:sz w:val="20"/>
                <w:szCs w:val="20"/>
              </w:rPr>
              <w:t xml:space="preserve">Where the breach is likely to result in a high risk to individuals.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US state breach laws</w:t>
            </w:r>
          </w:p>
        </w:tc>
        <w:tc>
          <w:tcPr>
            <w:tcW w:type="dxa" w:w="2300"/>
            <w:tcMar>
              <w:top w:type="dxa" w:w="90"/>
              <w:left w:type="dxa" w:w="130"/>
              <w:bottom w:type="dxa" w:w="90"/>
              <w:right w:type="dxa" w:w="130"/>
            </w:tcMar>
          </w:tcPr>
          <w:p>
            <w:pPr>
              <w:spacing w:after="0" w:line="260"/>
            </w:pPr>
            <w:r>
              <w:rPr>
                <w:b w:val="false"/>
                <w:bCs w:val="false"/>
                <w:sz w:val="20"/>
                <w:szCs w:val="20"/>
              </w:rPr>
              <w:t xml:space="preserve">Varies by state; commonly 30–60 days</w:t>
            </w:r>
          </w:p>
        </w:tc>
        <w:tc>
          <w:tcPr>
            <w:tcW w:type="dxa" w:w="4660"/>
            <w:tcMar>
              <w:top w:type="dxa" w:w="90"/>
              <w:left w:type="dxa" w:w="130"/>
              <w:bottom w:type="dxa" w:w="90"/>
              <w:right w:type="dxa" w:w="130"/>
            </w:tcMar>
          </w:tcPr>
          <w:p>
            <w:pPr>
              <w:spacing w:after="0" w:line="260"/>
            </w:pPr>
            <w:r>
              <w:rPr>
                <w:b w:val="false"/>
                <w:bCs w:val="false"/>
                <w:sz w:val="20"/>
                <w:szCs w:val="20"/>
              </w:rPr>
              <w:t xml:space="preserve">Determined per affected residency by Legal; the shortest applicable deadline governs the programme.</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Payment card brands / acquirer</w:t>
            </w:r>
          </w:p>
        </w:tc>
        <w:tc>
          <w:tcPr>
            <w:tcW w:type="dxa" w:w="2300"/>
            <w:tcMar>
              <w:top w:type="dxa" w:w="90"/>
              <w:left w:type="dxa" w:w="130"/>
              <w:bottom w:type="dxa" w:w="90"/>
              <w:right w:type="dxa" w:w="130"/>
            </w:tcMar>
          </w:tcPr>
          <w:p>
            <w:pPr>
              <w:spacing w:after="0" w:line="260"/>
            </w:pPr>
            <w:r>
              <w:rPr>
                <w:b w:val="false"/>
                <w:bCs w:val="false"/>
                <w:sz w:val="20"/>
                <w:szCs w:val="20"/>
              </w:rPr>
              <w:t xml:space="preserve">Immediately on suspicion</w:t>
            </w:r>
          </w:p>
        </w:tc>
        <w:tc>
          <w:tcPr>
            <w:tcW w:type="dxa" w:w="4660"/>
            <w:tcMar>
              <w:top w:type="dxa" w:w="90"/>
              <w:left w:type="dxa" w:w="130"/>
              <w:bottom w:type="dxa" w:w="90"/>
              <w:right w:type="dxa" w:w="130"/>
            </w:tcMar>
          </w:tcPr>
          <w:p>
            <w:pPr>
              <w:spacing w:after="0" w:line="260"/>
            </w:pPr>
            <w:r>
              <w:rPr>
                <w:b w:val="false"/>
                <w:bCs w:val="false"/>
                <w:sz w:val="20"/>
                <w:szCs w:val="20"/>
              </w:rPr>
              <w:t xml:space="preserve">Suspected compromise of cardholder data. Notified by the Head of Payments with the CISO.</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Customers (contractual)</w:t>
            </w:r>
          </w:p>
        </w:tc>
        <w:tc>
          <w:tcPr>
            <w:tcW w:type="dxa" w:w="2300"/>
            <w:tcMar>
              <w:top w:type="dxa" w:w="90"/>
              <w:left w:type="dxa" w:w="130"/>
              <w:bottom w:type="dxa" w:w="90"/>
              <w:right w:type="dxa" w:w="130"/>
            </w:tcMar>
          </w:tcPr>
          <w:p>
            <w:pPr>
              <w:spacing w:after="0" w:line="260"/>
            </w:pPr>
            <w:r>
              <w:rPr>
                <w:b w:val="false"/>
                <w:bCs w:val="false"/>
                <w:sz w:val="20"/>
                <w:szCs w:val="20"/>
              </w:rPr>
              <w:t xml:space="preserve">Per contract; commonly 24–72 hours</w:t>
            </w:r>
          </w:p>
        </w:tc>
        <w:tc>
          <w:tcPr>
            <w:tcW w:type="dxa" w:w="4660"/>
            <w:tcMar>
              <w:top w:type="dxa" w:w="90"/>
              <w:left w:type="dxa" w:w="130"/>
              <w:bottom w:type="dxa" w:w="90"/>
              <w:right w:type="dxa" w:w="130"/>
            </w:tcMar>
          </w:tcPr>
          <w:p>
            <w:pPr>
              <w:spacing w:after="0" w:line="260"/>
            </w:pPr>
            <w:r>
              <w:rPr>
                <w:b w:val="false"/>
                <w:bCs w:val="false"/>
                <w:sz w:val="20"/>
                <w:szCs w:val="20"/>
              </w:rPr>
              <w:t xml:space="preserve">Assessed against each affected customer agreement by Legal.</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Cyber insurer</w:t>
            </w:r>
          </w:p>
        </w:tc>
        <w:tc>
          <w:tcPr>
            <w:tcW w:type="dxa" w:w="2300"/>
            <w:tcMar>
              <w:top w:type="dxa" w:w="90"/>
              <w:left w:type="dxa" w:w="130"/>
              <w:bottom w:type="dxa" w:w="90"/>
              <w:right w:type="dxa" w:w="130"/>
            </w:tcMar>
          </w:tcPr>
          <w:p>
            <w:pPr>
              <w:spacing w:after="0" w:line="260"/>
            </w:pPr>
            <w:r>
              <w:rPr>
                <w:b w:val="false"/>
                <w:bCs w:val="false"/>
                <w:sz w:val="20"/>
                <w:szCs w:val="20"/>
              </w:rPr>
              <w:t xml:space="preserve">Per policy; typically immediately</w:t>
            </w:r>
          </w:p>
        </w:tc>
        <w:tc>
          <w:tcPr>
            <w:tcW w:type="dxa" w:w="4660"/>
            <w:tcMar>
              <w:top w:type="dxa" w:w="90"/>
              <w:left w:type="dxa" w:w="130"/>
              <w:bottom w:type="dxa" w:w="90"/>
              <w:right w:type="dxa" w:w="130"/>
            </w:tcMar>
          </w:tcPr>
          <w:p>
            <w:pPr>
              <w:spacing w:after="0" w:line="260"/>
            </w:pPr>
            <w:r>
              <w:rPr>
                <w:b w:val="false"/>
                <w:bCs w:val="false"/>
                <w:sz w:val="20"/>
                <w:szCs w:val="20"/>
              </w:rPr>
              <w:t xml:space="preserve">Notified by the CFO to preserve cover.</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NYDFS Part 500</w:t>
            </w:r>
          </w:p>
        </w:tc>
        <w:tc>
          <w:tcPr>
            <w:tcW w:type="dxa" w:w="2300"/>
            <w:tcMar>
              <w:top w:type="dxa" w:w="90"/>
              <w:left w:type="dxa" w:w="130"/>
              <w:bottom w:type="dxa" w:w="90"/>
              <w:right w:type="dxa" w:w="130"/>
            </w:tcMar>
          </w:tcPr>
          <w:p>
            <w:pPr>
              <w:spacing w:after="0" w:line="260"/>
            </w:pPr>
            <w:r>
              <w:rPr>
                <w:b w:val="false"/>
                <w:bCs w:val="false"/>
                <w:sz w:val="20"/>
                <w:szCs w:val="20"/>
              </w:rPr>
              <w:t xml:space="preserve">72 hours from determination</w:t>
            </w:r>
          </w:p>
        </w:tc>
        <w:tc>
          <w:tcPr>
            <w:tcW w:type="dxa" w:w="4660"/>
            <w:tcMar>
              <w:top w:type="dxa" w:w="90"/>
              <w:left w:type="dxa" w:w="130"/>
              <w:bottom w:type="dxa" w:w="90"/>
              <w:right w:type="dxa" w:w="130"/>
            </w:tcMar>
          </w:tcPr>
          <w:p>
            <w:pPr>
              <w:spacing w:after="0" w:line="260"/>
            </w:pPr>
            <w:r>
              <w:rPr>
                <w:b w:val="false"/>
                <w:bCs w:val="false"/>
                <w:sz w:val="20"/>
                <w:szCs w:val="20"/>
              </w:rPr>
              <w:t xml:space="preserve">Cybersecurity event affecting the New York licensed entity. Notified to the Superintendent by the CISO. Separate from, and not satisfied by, any other notification in this table.</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FinCEN — suspicious activity report</w:t>
            </w:r>
          </w:p>
        </w:tc>
        <w:tc>
          <w:tcPr>
            <w:tcW w:type="dxa" w:w="2300"/>
            <w:tcMar>
              <w:top w:type="dxa" w:w="90"/>
              <w:left w:type="dxa" w:w="130"/>
              <w:bottom w:type="dxa" w:w="90"/>
              <w:right w:type="dxa" w:w="130"/>
            </w:tcMar>
          </w:tcPr>
          <w:p>
            <w:pPr>
              <w:spacing w:after="0" w:line="260"/>
            </w:pPr>
            <w:r>
              <w:rPr>
                <w:b w:val="false"/>
                <w:bCs w:val="false"/>
                <w:sz w:val="20"/>
                <w:szCs w:val="20"/>
              </w:rPr>
              <w:t xml:space="preserve">Within 30 days of initial detection</w:t>
            </w:r>
          </w:p>
        </w:tc>
        <w:tc>
          <w:tcPr>
            <w:tcW w:type="dxa" w:w="4660"/>
            <w:tcMar>
              <w:top w:type="dxa" w:w="90"/>
              <w:left w:type="dxa" w:w="130"/>
              <w:bottom w:type="dxa" w:w="90"/>
              <w:right w:type="dxa" w:w="130"/>
            </w:tcMar>
          </w:tcPr>
          <w:p>
            <w:pPr>
              <w:spacing w:after="0" w:line="260"/>
            </w:pPr>
            <w:r>
              <w:rPr>
                <w:b w:val="false"/>
                <w:bCs w:val="false"/>
                <w:sz w:val="20"/>
                <w:szCs w:val="20"/>
              </w:rPr>
              <w:t xml:space="preserve">A cyber-event may itself be reportable, and cyber-event data may be required in a SAR arising from other suspicion. Assessed by the Head of Financial Crime on referral under section 7.1.</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Sponsor bank</w:t>
            </w:r>
          </w:p>
        </w:tc>
        <w:tc>
          <w:tcPr>
            <w:tcW w:type="dxa" w:w="2300"/>
            <w:tcMar>
              <w:top w:type="dxa" w:w="90"/>
              <w:left w:type="dxa" w:w="130"/>
              <w:bottom w:type="dxa" w:w="90"/>
              <w:right w:type="dxa" w:w="130"/>
            </w:tcMar>
          </w:tcPr>
          <w:p>
            <w:pPr>
              <w:spacing w:after="0" w:line="260"/>
            </w:pPr>
            <w:r>
              <w:rPr>
                <w:b w:val="false"/>
                <w:bCs w:val="false"/>
                <w:sz w:val="20"/>
                <w:szCs w:val="20"/>
              </w:rPr>
              <w:t xml:space="preserve">Per agreement; assume 24 hours</w:t>
            </w:r>
          </w:p>
        </w:tc>
        <w:tc>
          <w:tcPr>
            <w:tcW w:type="dxa" w:w="4660"/>
            <w:tcMar>
              <w:top w:type="dxa" w:w="90"/>
              <w:left w:type="dxa" w:w="130"/>
              <w:bottom w:type="dxa" w:w="90"/>
              <w:right w:type="dxa" w:w="130"/>
            </w:tcMar>
          </w:tcPr>
          <w:p>
            <w:pPr>
              <w:spacing w:after="0" w:line="260"/>
            </w:pPr>
            <w:r>
              <w:rPr>
                <w:b w:val="false"/>
                <w:bCs w:val="false"/>
                <w:sz w:val="20"/>
                <w:szCs w:val="20"/>
              </w:rPr>
              <w:t xml:space="preserve">Any incident affecting settlement, customer funds, or the control environment the bank relies upon.</w:t>
            </w:r>
          </w:p>
        </w:tc>
      </w:tr>
    </w:tbl>
    <w:p>
      <w:pPr>
        <w:pStyle w:val="Heading2"/>
        <w:spacing w:after="120" w:before="240"/>
      </w:pPr>
      <w:r>
        <w:t xml:space="preserve">7.1 Financial crime referral</w:t>
      </w:r>
    </w:p>
    <w:p>
      <w:pPr>
        <w:spacing w:after="140" w:line="276"/>
      </w:pPr>
      <w:r>
        <w:rPr>
          <w:sz w:val="22"/>
          <w:szCs w:val="22"/>
        </w:rPr>
        <w:t xml:space="preserve">Every incident assessed at S1 or S2, and any incident at any severity involving unauthorised access to customer accounts, payment instruction manipulation, or compromise of a merchant or borrower identity, is referred to the Head of Financial Crime within one business day of triage.</w:t>
      </w:r>
    </w:p>
    <w:p>
      <w:pPr>
        <w:spacing w:after="140" w:line="276"/>
      </w:pPr>
      <w:r>
        <w:rPr>
          <w:sz w:val="22"/>
          <w:szCs w:val="22"/>
        </w:rPr>
        <w:t xml:space="preserve">The referral is mandatory and is made irrespective of whether the Incident Commander considers a financial crime dimension likely. The purpose is to place the assessment with the function competent to make it. The Head of Financial Crime determines whether a suspicious activity report is required, whether cyber-event data must be included in a report arising from other suspicion, and whether the sponsor bank must be informed.</w:t>
      </w:r>
    </w:p>
    <w:p>
      <w:pPr>
        <w:spacing w:after="140" w:line="276"/>
      </w:pPr>
      <w:r>
        <w:rPr>
          <w:sz w:val="22"/>
          <w:szCs w:val="22"/>
        </w:rPr>
        <w:t xml:space="preserve">The determination and its reasoning are recorded on the incident ticket whether or not a filing results. The absence of this referral route was identified as a control gap in September 2026 and is the reason this section exists.</w:t>
      </w:r>
    </w:p>
    <w:p>
      <w:pPr>
        <w:spacing w:after="140" w:line="276"/>
      </w:pPr>
      <w:r>
        <w:rPr>
          <w:sz w:val="22"/>
          <w:szCs w:val="22"/>
        </w:rPr>
        <w:t xml:space="preserve">External communications, including any statement to media, customers or the market, are issued only through Corporate Communications with General Counsel approval. No other worker is authorised to comment.</w:t>
      </w:r>
    </w:p>
    <w:p>
      <w:pPr>
        <w:pStyle w:val="Heading1"/>
        <w:spacing w:after="160" w:before="320"/>
      </w:pPr>
      <w:r>
        <w:t xml:space="preserve">8. Roles and responsibilities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E7EAF0" w:color="auto" w:val="clear"/>
            <w:tcMar>
              <w:top w:type="dxa" w:w="90"/>
              <w:left w:type="dxa" w:w="130"/>
              <w:bottom w:type="dxa" w:w="90"/>
              <w:right w:type="dxa" w:w="130"/>
            </w:tcMar>
          </w:tcPr>
          <w:p>
            <w:pPr>
              <w:spacing w:after="0" w:line="260"/>
            </w:pPr>
            <w:r>
              <w:rPr>
                <w:b/>
                <w:bCs/>
                <w:sz w:val="20"/>
                <w:szCs w:val="20"/>
              </w:rPr>
              <w:t xml:space="preserve">Role</w:t>
            </w:r>
          </w:p>
        </w:tc>
        <w:tc>
          <w:tcPr>
            <w:tcW w:type="dxa" w:w="6760"/>
            <w:shd w:fill="E7EAF0" w:color="auto" w:val="clear"/>
            <w:tcMar>
              <w:top w:type="dxa" w:w="90"/>
              <w:left w:type="dxa" w:w="130"/>
              <w:bottom w:type="dxa" w:w="90"/>
              <w:right w:type="dxa" w:w="130"/>
            </w:tcMar>
          </w:tcPr>
          <w:p>
            <w:pPr>
              <w:spacing w:after="0" w:line="260"/>
            </w:pPr>
            <w:r>
              <w:rPr>
                <w:b/>
                <w:bCs/>
                <w:sz w:val="20"/>
                <w:szCs w:val="20"/>
              </w:rPr>
              <w:t xml:space="preserve">Responsibility</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All workers</w:t>
            </w:r>
          </w:p>
        </w:tc>
        <w:tc>
          <w:tcPr>
            <w:tcW w:type="dxa" w:w="6760"/>
            <w:tcMar>
              <w:top w:type="dxa" w:w="90"/>
              <w:left w:type="dxa" w:w="130"/>
              <w:bottom w:type="dxa" w:w="90"/>
              <w:right w:type="dxa" w:w="130"/>
            </w:tcMar>
          </w:tcPr>
          <w:p>
            <w:pPr>
              <w:spacing w:after="0" w:line="260"/>
            </w:pPr>
            <w:r>
              <w:rPr>
                <w:b w:val="false"/>
                <w:bCs w:val="false"/>
                <w:sz w:val="20"/>
                <w:szCs w:val="20"/>
              </w:rPr>
              <w:t xml:space="preserve">Report suspected incidents promptly; preserve evidence; cooperate with the response; maintain confidentiality.</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Security Operations Centre</w:t>
            </w:r>
          </w:p>
        </w:tc>
        <w:tc>
          <w:tcPr>
            <w:tcW w:type="dxa" w:w="6760"/>
            <w:tcMar>
              <w:top w:type="dxa" w:w="90"/>
              <w:left w:type="dxa" w:w="130"/>
              <w:bottom w:type="dxa" w:w="90"/>
              <w:right w:type="dxa" w:w="130"/>
            </w:tcMar>
          </w:tcPr>
          <w:p>
            <w:pPr>
              <w:spacing w:after="0" w:line="260"/>
            </w:pPr>
            <w:r>
              <w:rPr>
                <w:b w:val="false"/>
                <w:bCs w:val="false"/>
                <w:sz w:val="20"/>
                <w:szCs w:val="20"/>
              </w:rPr>
              <w:t xml:space="preserve">Monitors, triages, assigns provisional severity, and executes technical response.</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Incident Commander</w:t>
            </w:r>
          </w:p>
        </w:tc>
        <w:tc>
          <w:tcPr>
            <w:tcW w:type="dxa" w:w="6760"/>
            <w:tcMar>
              <w:top w:type="dxa" w:w="90"/>
              <w:left w:type="dxa" w:w="130"/>
              <w:bottom w:type="dxa" w:w="90"/>
              <w:right w:type="dxa" w:w="130"/>
            </w:tcMar>
          </w:tcPr>
          <w:p>
            <w:pPr>
              <w:spacing w:after="0" w:line="260"/>
            </w:pPr>
            <w:r>
              <w:rPr>
                <w:b w:val="false"/>
                <w:bCs w:val="false"/>
                <w:sz w:val="20"/>
                <w:szCs w:val="20"/>
              </w:rPr>
              <w:t xml:space="preserve">Holds decision authority; directs the response; maintains the incident log; determines when to escalate and when to close.</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6760"/>
            <w:tcMar>
              <w:top w:type="dxa" w:w="90"/>
              <w:left w:type="dxa" w:w="130"/>
              <w:bottom w:type="dxa" w:w="90"/>
              <w:right w:type="dxa" w:w="130"/>
            </w:tcMar>
          </w:tcPr>
          <w:p>
            <w:pPr>
              <w:spacing w:after="0" w:line="260"/>
            </w:pPr>
            <w:r>
              <w:rPr>
                <w:b w:val="false"/>
                <w:bCs w:val="false"/>
                <w:sz w:val="20"/>
                <w:szCs w:val="20"/>
              </w:rPr>
              <w:t xml:space="preserve">Owns this policy; appoints Incident Commanders; escalates to the executive; approves engagement of external forensics.</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General Counsel</w:t>
            </w:r>
          </w:p>
        </w:tc>
        <w:tc>
          <w:tcPr>
            <w:tcW w:type="dxa" w:w="6760"/>
            <w:tcMar>
              <w:top w:type="dxa" w:w="90"/>
              <w:left w:type="dxa" w:w="130"/>
              <w:bottom w:type="dxa" w:w="90"/>
              <w:right w:type="dxa" w:w="130"/>
            </w:tcMar>
          </w:tcPr>
          <w:p>
            <w:pPr>
              <w:spacing w:after="0" w:line="260"/>
            </w:pPr>
            <w:r>
              <w:rPr>
                <w:b w:val="false"/>
                <w:bCs w:val="false"/>
                <w:sz w:val="20"/>
                <w:szCs w:val="20"/>
              </w:rPr>
              <w:t xml:space="preserve">Determines notification obligations; manages legal privilege over investigation material; approves external statements.</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Data Protection Officer</w:t>
            </w:r>
          </w:p>
        </w:tc>
        <w:tc>
          <w:tcPr>
            <w:tcW w:type="dxa" w:w="6760"/>
            <w:tcMar>
              <w:top w:type="dxa" w:w="90"/>
              <w:left w:type="dxa" w:w="130"/>
              <w:bottom w:type="dxa" w:w="90"/>
              <w:right w:type="dxa" w:w="130"/>
            </w:tcMar>
          </w:tcPr>
          <w:p>
            <w:pPr>
              <w:spacing w:after="0" w:line="260"/>
            </w:pPr>
            <w:r>
              <w:rPr>
                <w:b w:val="false"/>
                <w:bCs w:val="false"/>
                <w:sz w:val="20"/>
                <w:szCs w:val="20"/>
              </w:rPr>
              <w:t xml:space="preserve">Assesses personal data impact; makes supervisory authority notifications; advises on data subject communication.</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Corporate Communications</w:t>
            </w:r>
          </w:p>
        </w:tc>
        <w:tc>
          <w:tcPr>
            <w:tcW w:type="dxa" w:w="6760"/>
            <w:tcMar>
              <w:top w:type="dxa" w:w="90"/>
              <w:left w:type="dxa" w:w="130"/>
              <w:bottom w:type="dxa" w:w="90"/>
              <w:right w:type="dxa" w:w="130"/>
            </w:tcMar>
          </w:tcPr>
          <w:p>
            <w:pPr>
              <w:spacing w:after="0" w:line="260"/>
            </w:pPr>
            <w:r>
              <w:rPr>
                <w:b w:val="false"/>
                <w:bCs w:val="false"/>
                <w:sz w:val="20"/>
                <w:szCs w:val="20"/>
              </w:rPr>
              <w:t xml:space="preserve">Owns all external and internal messaging during and after an incident.</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Executive Risk Committee</w:t>
            </w:r>
          </w:p>
        </w:tc>
        <w:tc>
          <w:tcPr>
            <w:tcW w:type="dxa" w:w="6760"/>
            <w:tcMar>
              <w:top w:type="dxa" w:w="90"/>
              <w:left w:type="dxa" w:w="130"/>
              <w:bottom w:type="dxa" w:w="90"/>
              <w:right w:type="dxa" w:w="130"/>
            </w:tcMar>
          </w:tcPr>
          <w:p>
            <w:pPr>
              <w:spacing w:after="0" w:line="260"/>
            </w:pPr>
            <w:r>
              <w:rPr>
                <w:b w:val="false"/>
                <w:bCs w:val="false"/>
                <w:sz w:val="20"/>
                <w:szCs w:val="20"/>
              </w:rPr>
              <w:t xml:space="preserve">Receives incident reporting; oversees closure of post-incident actions; escalates to the Board where warranted.</w:t>
            </w:r>
          </w:p>
        </w:tc>
      </w:tr>
    </w:tbl>
    <w:p>
      <w:pPr>
        <w:pStyle w:val="Heading1"/>
        <w:spacing w:after="160" w:before="320"/>
      </w:pPr>
      <w:r>
        <w:t xml:space="preserve">9. Compliance and enforcement</w:t>
      </w:r>
    </w:p>
    <w:p>
      <w:pPr>
        <w:spacing w:after="140" w:line="276"/>
      </w:pPr>
      <w:r>
        <w:rPr>
          <w:sz w:val="22"/>
          <w:szCs w:val="22"/>
        </w:rPr>
        <w:t xml:space="preserve">Failure to report a suspected incident, interference with a response, or concealment of a security event is a serious breach of policy and is dealt with under the Disciplinary Procedure. The Information Security team measures policy effectiveness through mean time to detect, mean time to contain, exercise outcomes and post-incident action closure rates, and reports these to the Executive Risk Committee.</w:t>
      </w:r>
    </w:p>
    <w:p>
      <w:pPr>
        <w:pStyle w:val="Heading1"/>
        <w:spacing w:after="160" w:before="320"/>
      </w:pPr>
      <w:r>
        <w:t xml:space="preserve">10. Exceptions</w:t>
      </w:r>
    </w:p>
    <w:p>
      <w:pPr>
        <w:spacing w:after="140" w:line="276"/>
      </w:pPr>
      <w:r>
        <w:rPr>
          <w:sz w:val="22"/>
          <w:szCs w:val="22"/>
        </w:rPr>
        <w:t xml:space="preserve">Exceptions to this policy are granted only by the Chief Information Security Officer and require Executive Risk Committee ratification. No exception may be granted to the duty to report an incident or to a statutory notification obligation.</w:t>
      </w:r>
    </w:p>
    <w:p>
      <w:pPr>
        <w:pStyle w:val="Heading1"/>
        <w:spacing w:after="160" w:before="320"/>
      </w:pPr>
      <w:r>
        <w:t xml:space="preserve">11. Related documents</w:t>
      </w:r>
    </w:p>
    <w:p>
      <w:pPr>
        <w:pStyle w:val="ListParagraph"/>
        <w:numPr>
          <w:ilvl w:val="0"/>
          <w:numId w:val="2"/>
        </w:numPr>
        <w:spacing w:after="80" w:line="276"/>
      </w:pPr>
      <w:r>
        <w:rPr>
          <w:sz w:val="22"/>
          <w:szCs w:val="22"/>
        </w:rPr>
        <w:t xml:space="preserve">AFT-ISMS-POL-01 — Acceptable Use Policy</w:t>
      </w:r>
    </w:p>
    <w:p>
      <w:pPr>
        <w:pStyle w:val="ListParagraph"/>
        <w:numPr>
          <w:ilvl w:val="0"/>
          <w:numId w:val="2"/>
        </w:numPr>
        <w:spacing w:after="80" w:line="276"/>
      </w:pPr>
      <w:r>
        <w:rPr>
          <w:sz w:val="22"/>
          <w:szCs w:val="22"/>
        </w:rPr>
        <w:t xml:space="preserve">AFT-ISMS-POL-04 — Data Classification and Handling Policy</w:t>
      </w:r>
    </w:p>
    <w:p>
      <w:pPr>
        <w:pStyle w:val="ListParagraph"/>
        <w:numPr>
          <w:ilvl w:val="0"/>
          <w:numId w:val="2"/>
        </w:numPr>
        <w:spacing w:after="80" w:line="276"/>
      </w:pPr>
      <w:r>
        <w:rPr>
          <w:sz w:val="22"/>
          <w:szCs w:val="22"/>
        </w:rPr>
        <w:t xml:space="preserve">AFT-ISMS-PLN-01 — Cyber Incident Response Plan and runbooks</w:t>
      </w:r>
    </w:p>
    <w:p>
      <w:pPr>
        <w:pStyle w:val="ListParagraph"/>
        <w:numPr>
          <w:ilvl w:val="0"/>
          <w:numId w:val="2"/>
        </w:numPr>
        <w:spacing w:after="80" w:line="276"/>
      </w:pPr>
      <w:r>
        <w:rPr>
          <w:sz w:val="22"/>
          <w:szCs w:val="22"/>
        </w:rPr>
        <w:t xml:space="preserve">AFT-ISMS-PLN-03 — Business Continuity and Disaster Recovery Plan</w:t>
      </w:r>
    </w:p>
    <w:p>
      <w:pPr>
        <w:pStyle w:val="ListParagraph"/>
        <w:numPr>
          <w:ilvl w:val="0"/>
          <w:numId w:val="2"/>
        </w:numPr>
        <w:spacing w:after="80" w:line="276"/>
      </w:pPr>
      <w:r>
        <w:rPr>
          <w:sz w:val="22"/>
          <w:szCs w:val="22"/>
        </w:rPr>
        <w:t xml:space="preserve">AFT-LEG-PRO-02 — Personal Data Breach Assessment Procedure</w:t>
      </w:r>
    </w:p>
    <w:p>
      <w:pPr>
        <w:pStyle w:val="ListParagraph"/>
        <w:numPr>
          <w:ilvl w:val="0"/>
          <w:numId w:val="2"/>
        </w:numPr>
        <w:spacing w:after="80" w:line="276"/>
      </w:pPr>
      <w:r>
        <w:rPr>
          <w:sz w:val="22"/>
          <w:szCs w:val="22"/>
        </w:rPr>
        <w:t xml:space="preserve">AFT-ISMS-STD-08 — Digital Evidence Handling Standard</w:t>
      </w:r>
    </w:p>
    <w:p>
      <w:pPr>
        <w:pStyle w:val="Heading1"/>
        <w:spacing w:after="160" w:before="320"/>
      </w:pPr>
      <w:r>
        <w:t xml:space="preserve">12. Standards mapping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4360"/>
        <w:gridCol w:w="2600"/>
      </w:tblGrid>
      <w:tr>
        <w:trPr>
          <w:tblHeader/>
        </w:trPr>
        <w:tc>
          <w:tcPr>
            <w:tcW w:type="dxa" w:w="2400"/>
            <w:shd w:fill="E7EAF0" w:color="auto" w:val="clear"/>
            <w:tcMar>
              <w:top w:type="dxa" w:w="90"/>
              <w:left w:type="dxa" w:w="130"/>
              <w:bottom w:type="dxa" w:w="90"/>
              <w:right w:type="dxa" w:w="130"/>
            </w:tcMar>
          </w:tcPr>
          <w:p>
            <w:pPr>
              <w:spacing w:after="0" w:line="260"/>
            </w:pPr>
            <w:r>
              <w:rPr>
                <w:b/>
                <w:bCs/>
                <w:sz w:val="20"/>
                <w:szCs w:val="20"/>
              </w:rPr>
              <w:t xml:space="preserve">Framework</w:t>
            </w:r>
          </w:p>
        </w:tc>
        <w:tc>
          <w:tcPr>
            <w:tcW w:type="dxa" w:w="4360"/>
            <w:shd w:fill="E7EAF0" w:color="auto" w:val="clear"/>
            <w:tcMar>
              <w:top w:type="dxa" w:w="90"/>
              <w:left w:type="dxa" w:w="130"/>
              <w:bottom w:type="dxa" w:w="90"/>
              <w:right w:type="dxa" w:w="130"/>
            </w:tcMar>
          </w:tcPr>
          <w:p>
            <w:pPr>
              <w:spacing w:after="0" w:line="260"/>
            </w:pPr>
            <w:r>
              <w:rPr>
                <w:b/>
                <w:bCs/>
                <w:sz w:val="20"/>
                <w:szCs w:val="20"/>
              </w:rPr>
              <w:t xml:space="preserve">Reference</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Control theme</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A.5.24</w:t>
            </w:r>
          </w:p>
        </w:tc>
        <w:tc>
          <w:tcPr>
            <w:tcW w:type="dxa" w:w="2600"/>
            <w:tcMar>
              <w:top w:type="dxa" w:w="90"/>
              <w:left w:type="dxa" w:w="130"/>
              <w:bottom w:type="dxa" w:w="90"/>
              <w:right w:type="dxa" w:w="130"/>
            </w:tcMar>
          </w:tcPr>
          <w:p>
            <w:pPr>
              <w:spacing w:after="0" w:line="260"/>
            </w:pPr>
            <w:r>
              <w:rPr>
                <w:b w:val="false"/>
                <w:bCs w:val="false"/>
                <w:sz w:val="20"/>
                <w:szCs w:val="20"/>
              </w:rPr>
              <w:t xml:space="preserve">Incident management planning and preparation</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A.5.25</w:t>
            </w:r>
          </w:p>
        </w:tc>
        <w:tc>
          <w:tcPr>
            <w:tcW w:type="dxa" w:w="2600"/>
            <w:tcMar>
              <w:top w:type="dxa" w:w="90"/>
              <w:left w:type="dxa" w:w="130"/>
              <w:bottom w:type="dxa" w:w="90"/>
              <w:right w:type="dxa" w:w="130"/>
            </w:tcMar>
          </w:tcPr>
          <w:p>
            <w:pPr>
              <w:spacing w:after="0" w:line="260"/>
            </w:pPr>
            <w:r>
              <w:rPr>
                <w:b w:val="false"/>
                <w:bCs w:val="false"/>
                <w:sz w:val="20"/>
                <w:szCs w:val="20"/>
              </w:rPr>
              <w:t xml:space="preserve">Assessment and decision on information security events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A.5.26</w:t>
            </w:r>
          </w:p>
        </w:tc>
        <w:tc>
          <w:tcPr>
            <w:tcW w:type="dxa" w:w="2600"/>
            <w:tcMar>
              <w:top w:type="dxa" w:w="90"/>
              <w:left w:type="dxa" w:w="130"/>
              <w:bottom w:type="dxa" w:w="90"/>
              <w:right w:type="dxa" w:w="130"/>
            </w:tcMar>
          </w:tcPr>
          <w:p>
            <w:pPr>
              <w:spacing w:after="0" w:line="260"/>
            </w:pPr>
            <w:r>
              <w:rPr>
                <w:b w:val="false"/>
                <w:bCs w:val="false"/>
                <w:sz w:val="20"/>
                <w:szCs w:val="20"/>
              </w:rPr>
              <w:t xml:space="preserve">Response to information security incidents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A.5.27</w:t>
            </w:r>
          </w:p>
        </w:tc>
        <w:tc>
          <w:tcPr>
            <w:tcW w:type="dxa" w:w="2600"/>
            <w:tcMar>
              <w:top w:type="dxa" w:w="90"/>
              <w:left w:type="dxa" w:w="130"/>
              <w:bottom w:type="dxa" w:w="90"/>
              <w:right w:type="dxa" w:w="130"/>
            </w:tcMar>
          </w:tcPr>
          <w:p>
            <w:pPr>
              <w:spacing w:after="0" w:line="260"/>
            </w:pPr>
            <w:r>
              <w:rPr>
                <w:b w:val="false"/>
                <w:bCs w:val="false"/>
                <w:sz w:val="20"/>
                <w:szCs w:val="20"/>
              </w:rPr>
              <w:t xml:space="preserve">Learning from information security incidents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A.5.28</w:t>
            </w:r>
          </w:p>
        </w:tc>
        <w:tc>
          <w:tcPr>
            <w:tcW w:type="dxa" w:w="2600"/>
            <w:tcMar>
              <w:top w:type="dxa" w:w="90"/>
              <w:left w:type="dxa" w:w="130"/>
              <w:bottom w:type="dxa" w:w="90"/>
              <w:right w:type="dxa" w:w="130"/>
            </w:tcMar>
          </w:tcPr>
          <w:p>
            <w:pPr>
              <w:spacing w:after="0" w:line="260"/>
            </w:pPr>
            <w:r>
              <w:rPr>
                <w:b w:val="false"/>
                <w:bCs w:val="false"/>
                <w:sz w:val="20"/>
                <w:szCs w:val="20"/>
              </w:rPr>
              <w:t xml:space="preserve">Collection of evidence</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A.6.8</w:t>
            </w:r>
          </w:p>
        </w:tc>
        <w:tc>
          <w:tcPr>
            <w:tcW w:type="dxa" w:w="2600"/>
            <w:tcMar>
              <w:top w:type="dxa" w:w="90"/>
              <w:left w:type="dxa" w:w="130"/>
              <w:bottom w:type="dxa" w:w="90"/>
              <w:right w:type="dxa" w:w="130"/>
            </w:tcMar>
          </w:tcPr>
          <w:p>
            <w:pPr>
              <w:spacing w:after="0" w:line="260"/>
            </w:pPr>
            <w:r>
              <w:rPr>
                <w:b w:val="false"/>
                <w:bCs w:val="false"/>
                <w:sz w:val="20"/>
                <w:szCs w:val="20"/>
              </w:rPr>
              <w:t xml:space="preserve">Information security event reporting</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A.5.5, A.5.20</w:t>
            </w:r>
          </w:p>
        </w:tc>
        <w:tc>
          <w:tcPr>
            <w:tcW w:type="dxa" w:w="2600"/>
            <w:tcMar>
              <w:top w:type="dxa" w:w="90"/>
              <w:left w:type="dxa" w:w="130"/>
              <w:bottom w:type="dxa" w:w="90"/>
              <w:right w:type="dxa" w:w="130"/>
            </w:tcMar>
          </w:tcPr>
          <w:p>
            <w:pPr>
              <w:spacing w:after="0" w:line="260"/>
            </w:pPr>
            <w:r>
              <w:rPr>
                <w:b w:val="false"/>
                <w:bCs w:val="false"/>
                <w:sz w:val="20"/>
                <w:szCs w:val="20"/>
              </w:rPr>
              <w:t xml:space="preserve">Contact with authorities; supplier agreements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NIST CSF 2.0</w:t>
            </w:r>
          </w:p>
        </w:tc>
        <w:tc>
          <w:tcPr>
            <w:tcW w:type="dxa" w:w="4360"/>
            <w:tcMar>
              <w:top w:type="dxa" w:w="90"/>
              <w:left w:type="dxa" w:w="130"/>
              <w:bottom w:type="dxa" w:w="90"/>
              <w:right w:type="dxa" w:w="130"/>
            </w:tcMar>
          </w:tcPr>
          <w:p>
            <w:pPr>
              <w:spacing w:after="0" w:line="260"/>
            </w:pPr>
            <w:r>
              <w:rPr>
                <w:b w:val="false"/>
                <w:bCs w:val="false"/>
                <w:sz w:val="20"/>
                <w:szCs w:val="20"/>
              </w:rPr>
              <w:t xml:space="preserve">RS.MA, RS.AN, RS.CO, RC.RP</w:t>
            </w:r>
          </w:p>
        </w:tc>
        <w:tc>
          <w:tcPr>
            <w:tcW w:type="dxa" w:w="2600"/>
            <w:tcMar>
              <w:top w:type="dxa" w:w="90"/>
              <w:left w:type="dxa" w:w="130"/>
              <w:bottom w:type="dxa" w:w="90"/>
              <w:right w:type="dxa" w:w="130"/>
            </w:tcMar>
          </w:tcPr>
          <w:p>
            <w:pPr>
              <w:spacing w:after="0" w:line="260"/>
            </w:pPr>
            <w:r>
              <w:rPr>
                <w:b w:val="false"/>
                <w:bCs w:val="false"/>
                <w:sz w:val="20"/>
                <w:szCs w:val="20"/>
              </w:rPr>
              <w:t xml:space="preserve">Response management, analysis, communication, recovery</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NIST SP 800-61</w:t>
            </w:r>
          </w:p>
        </w:tc>
        <w:tc>
          <w:tcPr>
            <w:tcW w:type="dxa" w:w="4360"/>
            <w:tcMar>
              <w:top w:type="dxa" w:w="90"/>
              <w:left w:type="dxa" w:w="130"/>
              <w:bottom w:type="dxa" w:w="90"/>
              <w:right w:type="dxa" w:w="130"/>
            </w:tcMar>
          </w:tcPr>
          <w:p>
            <w:pPr>
              <w:spacing w:after="0" w:line="260"/>
            </w:pPr>
            <w:r>
              <w:rPr>
                <w:b w:val="false"/>
                <w:bCs w:val="false"/>
                <w:sz w:val="20"/>
                <w:szCs w:val="20"/>
              </w:rPr>
              <w:t xml:space="preserve">Full lifecycle</w:t>
            </w:r>
          </w:p>
        </w:tc>
        <w:tc>
          <w:tcPr>
            <w:tcW w:type="dxa" w:w="2600"/>
            <w:tcMar>
              <w:top w:type="dxa" w:w="90"/>
              <w:left w:type="dxa" w:w="130"/>
              <w:bottom w:type="dxa" w:w="90"/>
              <w:right w:type="dxa" w:w="130"/>
            </w:tcMar>
          </w:tcPr>
          <w:p>
            <w:pPr>
              <w:spacing w:after="0" w:line="260"/>
            </w:pPr>
            <w:r>
              <w:rPr>
                <w:b w:val="false"/>
                <w:bCs w:val="false"/>
                <w:sz w:val="20"/>
                <w:szCs w:val="20"/>
              </w:rPr>
              <w:t xml:space="preserve">Computer security incident handling</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PCI DSS v4.0</w:t>
            </w:r>
          </w:p>
        </w:tc>
        <w:tc>
          <w:tcPr>
            <w:tcW w:type="dxa" w:w="4360"/>
            <w:tcMar>
              <w:top w:type="dxa" w:w="90"/>
              <w:left w:type="dxa" w:w="130"/>
              <w:bottom w:type="dxa" w:w="90"/>
              <w:right w:type="dxa" w:w="130"/>
            </w:tcMar>
          </w:tcPr>
          <w:p>
            <w:pPr>
              <w:spacing w:after="0" w:line="260"/>
            </w:pPr>
            <w:r>
              <w:rPr>
                <w:b w:val="false"/>
                <w:bCs w:val="false"/>
                <w:sz w:val="20"/>
                <w:szCs w:val="20"/>
              </w:rPr>
              <w:t xml:space="preserve">Requirement 12.10</w:t>
            </w:r>
          </w:p>
        </w:tc>
        <w:tc>
          <w:tcPr>
            <w:tcW w:type="dxa" w:w="2600"/>
            <w:tcMar>
              <w:top w:type="dxa" w:w="90"/>
              <w:left w:type="dxa" w:w="130"/>
              <w:bottom w:type="dxa" w:w="90"/>
              <w:right w:type="dxa" w:w="130"/>
            </w:tcMar>
          </w:tcPr>
          <w:p>
            <w:pPr>
              <w:spacing w:after="0" w:line="260"/>
            </w:pPr>
            <w:r>
              <w:rPr>
                <w:b w:val="false"/>
                <w:bCs w:val="false"/>
                <w:sz w:val="20"/>
                <w:szCs w:val="20"/>
              </w:rPr>
              <w:t xml:space="preserve">Incident response plan</w:t>
            </w:r>
          </w:p>
        </w:tc>
      </w:tr>
    </w:tbl>
    <w:p>
      <w:pPr>
        <w:pStyle w:val="Heading1"/>
        <w:spacing w:after="160" w:before="320"/>
      </w:pPr>
      <w:r>
        <w:t xml:space="preserve">13. Revision history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1900"/>
        <w:gridCol w:w="2600"/>
        <w:gridCol w:w="3660"/>
      </w:tblGrid>
      <w:tr>
        <w:trPr>
          <w:tblHeader/>
        </w:trPr>
        <w:tc>
          <w:tcPr>
            <w:tcW w:type="dxa" w:w="1200"/>
            <w:shd w:fill="E7EAF0" w:color="auto" w:val="clear"/>
            <w:tcMar>
              <w:top w:type="dxa" w:w="90"/>
              <w:left w:type="dxa" w:w="130"/>
              <w:bottom w:type="dxa" w:w="90"/>
              <w:right w:type="dxa" w:w="130"/>
            </w:tcMar>
          </w:tcPr>
          <w:p>
            <w:pPr>
              <w:spacing w:after="0" w:line="260"/>
            </w:pPr>
            <w:r>
              <w:rPr>
                <w:b/>
                <w:bCs/>
                <w:sz w:val="20"/>
                <w:szCs w:val="20"/>
              </w:rPr>
              <w:t xml:space="preserve">Version</w:t>
            </w:r>
          </w:p>
        </w:tc>
        <w:tc>
          <w:tcPr>
            <w:tcW w:type="dxa" w:w="1900"/>
            <w:shd w:fill="E7EAF0" w:color="auto" w:val="clear"/>
            <w:tcMar>
              <w:top w:type="dxa" w:w="90"/>
              <w:left w:type="dxa" w:w="130"/>
              <w:bottom w:type="dxa" w:w="90"/>
              <w:right w:type="dxa" w:w="130"/>
            </w:tcMar>
          </w:tcPr>
          <w:p>
            <w:pPr>
              <w:spacing w:after="0" w:line="260"/>
            </w:pPr>
            <w:r>
              <w:rPr>
                <w:b/>
                <w:bCs/>
                <w:sz w:val="20"/>
                <w:szCs w:val="20"/>
              </w:rPr>
              <w:t xml:space="preserve">Date</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Author</w:t>
            </w:r>
          </w:p>
        </w:tc>
        <w:tc>
          <w:tcPr>
            <w:tcW w:type="dxa" w:w="3660"/>
            <w:shd w:fill="E7EAF0" w:color="auto" w:val="clear"/>
            <w:tcMar>
              <w:top w:type="dxa" w:w="90"/>
              <w:left w:type="dxa" w:w="130"/>
              <w:bottom w:type="dxa" w:w="90"/>
              <w:right w:type="dxa" w:w="130"/>
            </w:tcMar>
          </w:tcPr>
          <w:p>
            <w:pPr>
              <w:spacing w:after="0" w:line="260"/>
            </w:pPr>
            <w:r>
              <w:rPr>
                <w:b/>
                <w:bCs/>
                <w:sz w:val="20"/>
                <w:szCs w:val="20"/>
              </w:rPr>
              <w:t xml:space="preserve">Summary of change</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1.0</w:t>
            </w:r>
          </w:p>
        </w:tc>
        <w:tc>
          <w:tcPr>
            <w:tcW w:type="dxa" w:w="1900"/>
            <w:tcMar>
              <w:top w:type="dxa" w:w="90"/>
              <w:left w:type="dxa" w:w="130"/>
              <w:bottom w:type="dxa" w:w="90"/>
              <w:right w:type="dxa" w:w="130"/>
            </w:tcMar>
          </w:tcPr>
          <w:p>
            <w:pPr>
              <w:spacing w:after="0" w:line="260"/>
            </w:pPr>
            <w:r>
              <w:rPr>
                <w:b w:val="false"/>
                <w:bCs w:val="false"/>
                <w:sz w:val="20"/>
                <w:szCs w:val="20"/>
              </w:rPr>
              <w:t xml:space="preserve">14 March 2023</w:t>
            </w:r>
          </w:p>
        </w:tc>
        <w:tc>
          <w:tcPr>
            <w:tcW w:type="dxa" w:w="2600"/>
            <w:tcMar>
              <w:top w:type="dxa" w:w="90"/>
              <w:left w:type="dxa" w:w="130"/>
              <w:bottom w:type="dxa" w:w="90"/>
              <w:right w:type="dxa" w:w="130"/>
            </w:tcMar>
          </w:tcPr>
          <w:p>
            <w:pPr>
              <w:spacing w:after="0" w:line="260"/>
            </w:pPr>
            <w:r>
              <w:rPr>
                <w:b w:val="false"/>
                <w:bCs w:val="false"/>
                <w:sz w:val="20"/>
                <w:szCs w:val="20"/>
              </w:rPr>
              <w:t xml:space="preserve">Head of Security Governance</w:t>
            </w:r>
          </w:p>
        </w:tc>
        <w:tc>
          <w:tcPr>
            <w:tcW w:type="dxa" w:w="3660"/>
            <w:tcMar>
              <w:top w:type="dxa" w:w="90"/>
              <w:left w:type="dxa" w:w="130"/>
              <w:bottom w:type="dxa" w:w="90"/>
              <w:right w:type="dxa" w:w="130"/>
            </w:tcMar>
          </w:tcPr>
          <w:p>
            <w:pPr>
              <w:spacing w:after="0" w:line="260"/>
            </w:pPr>
            <w:r>
              <w:rPr>
                <w:b w:val="false"/>
                <w:bCs w:val="false"/>
                <w:sz w:val="20"/>
                <w:szCs w:val="20"/>
              </w:rPr>
              <w:t xml:space="preserve">Initial issue.</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2.0</w:t>
            </w:r>
          </w:p>
        </w:tc>
        <w:tc>
          <w:tcPr>
            <w:tcW w:type="dxa" w:w="1900"/>
            <w:tcMar>
              <w:top w:type="dxa" w:w="90"/>
              <w:left w:type="dxa" w:w="130"/>
              <w:bottom w:type="dxa" w:w="90"/>
              <w:right w:type="dxa" w:w="130"/>
            </w:tcMar>
          </w:tcPr>
          <w:p>
            <w:pPr>
              <w:spacing w:after="0" w:line="260"/>
            </w:pPr>
            <w:r>
              <w:rPr>
                <w:b w:val="false"/>
                <w:bCs w:val="false"/>
                <w:sz w:val="20"/>
                <w:szCs w:val="20"/>
              </w:rPr>
              <w:t xml:space="preserve">9 January 2025</w:t>
            </w:r>
          </w:p>
        </w:tc>
        <w:tc>
          <w:tcPr>
            <w:tcW w:type="dxa" w:w="2600"/>
            <w:tcMar>
              <w:top w:type="dxa" w:w="90"/>
              <w:left w:type="dxa" w:w="130"/>
              <w:bottom w:type="dxa" w:w="90"/>
              <w:right w:type="dxa" w:w="130"/>
            </w:tcMar>
          </w:tcPr>
          <w:p>
            <w:pPr>
              <w:spacing w:after="0" w:line="260"/>
            </w:pPr>
            <w:r>
              <w:rPr>
                <w:b w:val="false"/>
                <w:bCs w:val="false"/>
                <w:sz w:val="20"/>
                <w:szCs w:val="20"/>
              </w:rPr>
              <w:t xml:space="preserve">Head of Security Operations</w:t>
            </w:r>
          </w:p>
        </w:tc>
        <w:tc>
          <w:tcPr>
            <w:tcW w:type="dxa" w:w="3660"/>
            <w:tcMar>
              <w:top w:type="dxa" w:w="90"/>
              <w:left w:type="dxa" w:w="130"/>
              <w:bottom w:type="dxa" w:w="90"/>
              <w:right w:type="dxa" w:w="130"/>
            </w:tcMar>
          </w:tcPr>
          <w:p>
            <w:pPr>
              <w:spacing w:after="0" w:line="260"/>
            </w:pPr>
            <w:r>
              <w:rPr>
                <w:b w:val="false"/>
                <w:bCs w:val="false"/>
                <w:sz w:val="20"/>
                <w:szCs w:val="20"/>
              </w:rPr>
              <w:t xml:space="preserve">Introduced four-tier severity model; added Incident Commander role.</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3.0</w:t>
            </w:r>
          </w:p>
        </w:tc>
        <w:tc>
          <w:tcPr>
            <w:tcW w:type="dxa" w:w="190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60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3660"/>
            <w:tcMar>
              <w:top w:type="dxa" w:w="90"/>
              <w:left w:type="dxa" w:w="130"/>
              <w:bottom w:type="dxa" w:w="90"/>
              <w:right w:type="dxa" w:w="130"/>
            </w:tcMar>
          </w:tcPr>
          <w:p>
            <w:pPr>
              <w:spacing w:after="0" w:line="260"/>
            </w:pPr>
            <w:r>
              <w:rPr>
                <w:b w:val="false"/>
                <w:bCs w:val="false"/>
                <w:sz w:val="20"/>
                <w:szCs w:val="20"/>
              </w:rPr>
              <w:t xml:space="preserve">Aligned to ISO/IEC 27001:2022; added supplier incident obligations; expanded notification matrix; mandated blameless review.</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3.1</w:t>
            </w:r>
          </w:p>
        </w:tc>
        <w:tc>
          <w:tcPr>
            <w:tcW w:type="dxa" w:w="190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60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3660"/>
            <w:tcMar>
              <w:top w:type="dxa" w:w="90"/>
              <w:left w:type="dxa" w:w="130"/>
              <w:bottom w:type="dxa" w:w="90"/>
              <w:right w:type="dxa" w:w="130"/>
            </w:tcMar>
          </w:tcPr>
          <w:p>
            <w:pPr>
              <w:spacing w:after="0" w:line="260"/>
            </w:pPr>
            <w:r>
              <w:rPr>
                <w:b w:val="false"/>
                <w:bCs w:val="false"/>
                <w:sz w:val="20"/>
                <w:szCs w:val="20"/>
              </w:rPr>
              <w:t xml:space="preserve">Added NYDFS Part 500, FinCEN suspicious activity reporting and sponsor bank notification obligations to the section 7 matrix. Added section 7.1 establishing a mandatory financial crime referral for S1 and S2 incidents and for any incident with an account or payment dimension. Closes the gap between incident response and the financial crime function.</w:t>
            </w:r>
          </w:p>
        </w:tc>
      </w:tr>
    </w:tbl>
    <w:sectPr>
      <w:headerReference w:type="default" r:id="rId7"/>
      <w:footerReference w:type="default" r:id="rId8"/>
      <w:pgSz w:w="12240" w:h="15840" w:orient="portrait"/>
      <w:pgMar w:top="1180" w:right="1440" w:bottom="110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60"/>
    </w:pPr>
    <w:r>
      <w:rPr>
        <w:color w:val="44546A"/>
        <w:sz w:val="16"/>
        <w:szCs w:val="16"/>
      </w:rPr>
      <w:t xml:space="preserve">AFT-ISMS-POL-02  ·  Internal</w:t>
    </w:r>
    <w:r>
      <w:rPr>
        <w:color w:val="44546A"/>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b/>
        <w:bCs/>
        <w:color w:val="44546A"/>
        <w:sz w:val="17"/>
        <w:szCs w:val="17"/>
      </w:rPr>
      <w:t xml:space="preserve">Aldridge Financial Technologies</w:t>
    </w:r>
    <w:r>
      <w:rPr>
        <w:color w:val="44546A"/>
        <w:sz w:val="17"/>
        <w:szCs w:val="17"/>
      </w:rPr>
      <w:t xml:space="preserve">	Information Security Incident Response Policy</w:t>
    </w:r>
  </w:p>
  <w:p>
    <w:pPr>
      <w:pBdr>
        <w:bottom w:val="single" w:color="BFBFBF" w:sz="6"/>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11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44546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 Financial Technologies — Information Security Incident Response Policy</dc:title>
  <dc:creator>Aldridge Financial Technologies — Information Security</dc:creator>
  <dc:description>Information Security Management System — Tier 2 Policy</dc:description>
  <cp:lastModifiedBy>Un-named</cp:lastModifiedBy>
  <cp:revision>1</cp:revision>
  <dcterms:created xsi:type="dcterms:W3CDTF">2026-09-10T01:04:46.199Z</dcterms:created>
  <dcterms:modified xsi:type="dcterms:W3CDTF">2026-09-10T01:04:46.200Z</dcterms:modified>
</cp:coreProperties>
</file>

<file path=docProps/custom.xml><?xml version="1.0" encoding="utf-8"?>
<Properties xmlns="http://schemas.openxmlformats.org/officeDocument/2006/custom-properties" xmlns:vt="http://schemas.openxmlformats.org/officeDocument/2006/docPropsVTypes"/>
</file>