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pacing w:val="24"/>
          <w:sz w:val="19"/>
          <w:szCs w:val="19"/>
        </w:rPr>
        <w:t xml:space="preserve">ALDRIDGE FINANCIAL TECHNOLOGIES</w:t>
      </w:r>
    </w:p>
    <w:p>
      <w:pPr>
        <w:spacing w:after="60"/>
      </w:pPr>
      <w:r>
        <w:rPr>
          <w:b/>
          <w:bCs/>
          <w:color w:val="1F3864"/>
          <w:sz w:val="44"/>
          <w:szCs w:val="44"/>
        </w:rPr>
        <w:t xml:space="preserve">Security Awareness and Training Programme</w:t>
      </w:r>
    </w:p>
    <w:p>
      <w:pPr>
        <w:pBdr>
          <w:bottom w:val="single" w:color="1F3864" w:sz="12"/>
        </w:pBdr>
        <w:spacing w:after="240"/>
      </w:pPr>
      <w:r>
        <w:rPr>
          <w:i/>
          <w:iCs/>
          <w:color w:val="44546A"/>
          <w:sz w:val="22"/>
          <w:szCs w:val="22"/>
        </w:rPr>
        <w:t xml:space="preserve">Information Security Management System — Programme Document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80"/>
        <w:gridCol w:w="2200"/>
        <w:gridCol w:w="2480"/>
      </w:tblGrid>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reference</w:t>
            </w:r>
          </w:p>
        </w:tc>
        <w:tc>
          <w:tcPr>
            <w:tcW w:type="dxa" w:w="2480"/>
            <w:tcMar>
              <w:top w:type="dxa" w:w="90"/>
              <w:left w:type="dxa" w:w="130"/>
              <w:bottom w:type="dxa" w:w="90"/>
              <w:right w:type="dxa" w:w="130"/>
            </w:tcMar>
          </w:tcPr>
          <w:p>
            <w:pPr>
              <w:spacing w:after="0" w:line="260"/>
            </w:pPr>
            <w:r>
              <w:rPr>
                <w:b w:val="false"/>
                <w:bCs w:val="false"/>
                <w:sz w:val="20"/>
                <w:szCs w:val="20"/>
              </w:rPr>
              <w:t xml:space="preserve">AFT-ISMS-PRG-01</w:t>
            </w:r>
          </w:p>
        </w:tc>
        <w:tc>
          <w:tcPr>
            <w:tcW w:type="dxa" w:w="2200"/>
            <w:tcMar>
              <w:top w:type="dxa" w:w="90"/>
              <w:left w:type="dxa" w:w="130"/>
              <w:bottom w:type="dxa" w:w="90"/>
              <w:right w:type="dxa" w:w="130"/>
            </w:tcMar>
          </w:tcPr>
          <w:p>
            <w:pPr>
              <w:spacing w:after="0" w:line="260"/>
            </w:pPr>
            <w:r>
              <w:rPr>
                <w:b w:val="false"/>
                <w:bCs w:val="false"/>
                <w:sz w:val="20"/>
                <w:szCs w:val="20"/>
              </w:rPr>
              <w:t xml:space="preserve">Version</w:t>
            </w:r>
          </w:p>
        </w:tc>
        <w:tc>
          <w:tcPr>
            <w:tcW w:type="dxa" w:w="2480"/>
            <w:tcMar>
              <w:top w:type="dxa" w:w="90"/>
              <w:left w:type="dxa" w:w="130"/>
              <w:bottom w:type="dxa" w:w="90"/>
              <w:right w:type="dxa" w:w="130"/>
            </w:tcMar>
          </w:tcPr>
          <w:p>
            <w:pPr>
              <w:spacing w:after="0" w:line="260"/>
            </w:pPr>
            <w:r>
              <w:rPr>
                <w:b w:val="false"/>
                <w:bCs w:val="false"/>
                <w:sz w:val="20"/>
                <w:szCs w:val="20"/>
              </w:rPr>
              <w:t xml:space="preserve">1.2</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owner</w:t>
            </w:r>
          </w:p>
        </w:tc>
        <w:tc>
          <w:tcPr>
            <w:tcW w:type="dxa" w:w="248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22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2480"/>
            <w:tcMar>
              <w:top w:type="dxa" w:w="90"/>
              <w:left w:type="dxa" w:w="130"/>
              <w:bottom w:type="dxa" w:w="90"/>
              <w:right w:type="dxa" w:w="130"/>
            </w:tcMar>
          </w:tcPr>
          <w:p>
            <w:pPr>
              <w:spacing w:after="0" w:line="260"/>
            </w:pPr>
            <w:r>
              <w:rPr>
                <w:b w:val="false"/>
                <w:bCs w:val="false"/>
                <w:sz w:val="20"/>
                <w:szCs w:val="20"/>
              </w:rPr>
              <w:t xml:space="preserve">Executive Risk Committee</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Effective date</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200"/>
            <w:tcMar>
              <w:top w:type="dxa" w:w="90"/>
              <w:left w:type="dxa" w:w="130"/>
              <w:bottom w:type="dxa" w:w="90"/>
              <w:right w:type="dxa" w:w="130"/>
            </w:tcMar>
          </w:tcPr>
          <w:p>
            <w:pPr>
              <w:spacing w:after="0" w:line="260"/>
            </w:pPr>
            <w:r>
              <w:rPr>
                <w:b w:val="false"/>
                <w:bCs w:val="false"/>
                <w:sz w:val="20"/>
                <w:szCs w:val="20"/>
              </w:rPr>
              <w:t xml:space="preserve">Next review</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2027</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Classification</w:t>
            </w:r>
          </w:p>
        </w:tc>
        <w:tc>
          <w:tcPr>
            <w:tcW w:type="dxa" w:w="2480"/>
            <w:tcMar>
              <w:top w:type="dxa" w:w="90"/>
              <w:left w:type="dxa" w:w="130"/>
              <w:bottom w:type="dxa" w:w="90"/>
              <w:right w:type="dxa" w:w="130"/>
            </w:tcMar>
          </w:tcPr>
          <w:p>
            <w:pPr>
              <w:spacing w:after="0" w:line="260"/>
            </w:pPr>
            <w:r>
              <w:rPr>
                <w:b w:val="false"/>
                <w:bCs w:val="false"/>
                <w:sz w:val="20"/>
                <w:szCs w:val="20"/>
              </w:rPr>
              <w:t xml:space="preserve">Internal</w:t>
            </w:r>
          </w:p>
        </w:tc>
        <w:tc>
          <w:tcPr>
            <w:tcW w:type="dxa" w:w="2200"/>
            <w:tcMar>
              <w:top w:type="dxa" w:w="90"/>
              <w:left w:type="dxa" w:w="130"/>
              <w:bottom w:type="dxa" w:w="90"/>
              <w:right w:type="dxa" w:w="130"/>
            </w:tcMar>
          </w:tcPr>
          <w:p>
            <w:pPr>
              <w:spacing w:after="0" w:line="260"/>
            </w:pPr>
            <w:r>
              <w:rPr>
                <w:b w:val="false"/>
                <w:bCs w:val="false"/>
                <w:sz w:val="20"/>
                <w:szCs w:val="20"/>
              </w:rPr>
              <w:t xml:space="preserve">Applies to</w:t>
            </w:r>
          </w:p>
        </w:tc>
        <w:tc>
          <w:tcPr>
            <w:tcW w:type="dxa" w:w="2480"/>
            <w:tcMar>
              <w:top w:type="dxa" w:w="90"/>
              <w:left w:type="dxa" w:w="130"/>
              <w:bottom w:type="dxa" w:w="90"/>
              <w:right w:type="dxa" w:w="130"/>
            </w:tcMar>
          </w:tcPr>
          <w:p>
            <w:pPr>
              <w:spacing w:after="0" w:line="260"/>
            </w:pPr>
            <w:r>
              <w:rPr>
                <w:b w:val="false"/>
                <w:bCs w:val="false"/>
                <w:sz w:val="20"/>
                <w:szCs w:val="20"/>
              </w:rPr>
              <w:t xml:space="preserve">All workers, globally</w:t>
            </w:r>
          </w:p>
        </w:tc>
      </w:tr>
    </w:tbl>
    <w:p>
      <w:pPr>
        <w:spacing w:after="240"/>
      </w:pPr>
    </w:p>
    <w:p>
      <w:pPr>
        <w:pStyle w:val="Heading2"/>
        <w:spacing w:after="12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pPr>
    </w:p>
    <w:p>
      <w:pPr>
        <w:pStyle w:val="Heading1"/>
        <w:spacing w:after="160" w:before="320"/>
      </w:pPr>
      <w:r>
        <w:t xml:space="preserve">1. Purpose and objectives</w:t>
      </w:r>
    </w:p>
    <w:p>
      <w:pPr>
        <w:spacing w:after="140" w:line="276"/>
      </w:pPr>
      <w:r>
        <w:rPr>
          <w:sz w:val="22"/>
          <w:szCs w:val="22"/>
        </w:rPr>
        <w:t xml:space="preserve">This programme sets out how Aldridge Financial Technologies builds and sustains information security competence across its workforce. It replaces the annual training exercise the company has run since 2023, which measured completion and nothing else.</w:t>
      </w:r>
    </w:p>
    <w:p>
      <w:pPr>
        <w:spacing w:after="140" w:line="276"/>
      </w:pPr>
      <w:r>
        <w:rPr>
          <w:sz w:val="22"/>
          <w:szCs w:val="22"/>
        </w:rPr>
        <w:t xml:space="preserve">The programme has four objectives:</w:t>
      </w:r>
    </w:p>
    <w:p>
      <w:pPr>
        <w:pStyle w:val="ListParagraph"/>
        <w:numPr>
          <w:ilvl w:val="0"/>
          <w:numId w:val="2"/>
        </w:numPr>
        <w:spacing w:after="80" w:line="276"/>
      </w:pPr>
      <w:r>
        <w:rPr>
          <w:sz w:val="22"/>
          <w:szCs w:val="22"/>
        </w:rPr>
        <w:t xml:space="preserve">Reduce the proportion of workers who interact with a phishing message, and more importantly reduce the proportion who surrender credentials once they do.</w:t>
      </w:r>
    </w:p>
    <w:p>
      <w:pPr>
        <w:pStyle w:val="ListParagraph"/>
        <w:numPr>
          <w:ilvl w:val="0"/>
          <w:numId w:val="2"/>
        </w:numPr>
        <w:spacing w:after="80" w:line="276"/>
      </w:pPr>
      <w:r>
        <w:rPr>
          <w:sz w:val="22"/>
          <w:szCs w:val="22"/>
        </w:rPr>
        <w:t xml:space="preserve">Increase the proportion who report a suspicious message, and shorten the time to the first report, because reporting is what converts an individual failure into an organisational detection.</w:t>
      </w:r>
    </w:p>
    <w:p>
      <w:pPr>
        <w:pStyle w:val="ListParagraph"/>
        <w:numPr>
          <w:ilvl w:val="0"/>
          <w:numId w:val="2"/>
        </w:numPr>
        <w:spacing w:after="80" w:line="276"/>
      </w:pPr>
      <w:r>
        <w:rPr>
          <w:sz w:val="22"/>
          <w:szCs w:val="22"/>
        </w:rPr>
        <w:t xml:space="preserve">Ensure every worker understands the obligations that apply to their specific role, rather than delivering identical content to an engineer, a collections agent and a sales representative.</w:t>
      </w:r>
    </w:p>
    <w:p>
      <w:pPr>
        <w:pStyle w:val="ListParagraph"/>
        <w:numPr>
          <w:ilvl w:val="0"/>
          <w:numId w:val="2"/>
        </w:numPr>
        <w:spacing w:after="80" w:line="276"/>
      </w:pPr>
      <w:r>
        <w:rPr>
          <w:sz w:val="22"/>
          <w:szCs w:val="22"/>
        </w:rPr>
        <w:t xml:space="preserve">Provide the evidence of competence and awareness required by ISO/IEC 27001 clause 7.3 and Annex A control A.6.3, which the current arrangement cannot produce.</w:t>
      </w:r>
    </w:p>
    <w:p>
      <w:pPr>
        <w:pStyle w:val="Heading1"/>
        <w:spacing w:after="160" w:before="320"/>
      </w:pPr>
      <w:r>
        <w:t xml:space="preserve">2. Scope</w:t>
      </w:r>
    </w:p>
    <w:p>
      <w:pPr>
        <w:spacing w:after="140" w:line="276"/>
      </w:pPr>
      <w:r>
        <w:rPr>
          <w:sz w:val="22"/>
          <w:szCs w:val="22"/>
        </w:rPr>
        <w:t xml:space="preserve">This programme applies to all workers as defined in AFT-ISMS-POL-01, at both entities and both sites, including contractors and temporary workers. Personnel of third-party suppliers are covered by the security obligations in their supplier agreements and are outside this programme, save that supplier personnel granted named access to Aldridge systems must complete the core module before provisioning.</w:t>
      </w:r>
    </w:p>
    <w:p>
      <w:pPr>
        <w:pStyle w:val="Heading1"/>
        <w:spacing w:after="160" w:before="320"/>
      </w:pPr>
      <w:r>
        <w:t xml:space="preserve">3. Current position</w:t>
      </w:r>
    </w:p>
    <w:p>
      <w:pPr>
        <w:spacing w:after="140" w:line="276"/>
      </w:pPr>
      <w:r>
        <w:rPr>
          <w:sz w:val="22"/>
          <w:szCs w:val="22"/>
        </w:rPr>
        <w:t xml:space="preserve">The programme is being introduced because the existing arrangement has three specific deficiencies, each recorded as a gap in AFT-ISMS-GAP-01.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200"/>
        <w:gridCol w:w="4060"/>
      </w:tblGrid>
      <w:tr>
        <w:trPr>
          <w:tblHeader/>
        </w:trPr>
        <w:tc>
          <w:tcPr>
            <w:tcW w:type="dxa" w:w="2100"/>
            <w:shd w:fill="E7EAF0" w:color="auto" w:val="clear"/>
            <w:tcMar>
              <w:top w:type="dxa" w:w="90"/>
              <w:left w:type="dxa" w:w="130"/>
              <w:bottom w:type="dxa" w:w="90"/>
              <w:right w:type="dxa" w:w="130"/>
            </w:tcMar>
          </w:tcPr>
          <w:p>
            <w:pPr>
              <w:spacing w:after="0" w:line="260"/>
            </w:pPr>
            <w:r>
              <w:rPr>
                <w:b/>
                <w:bCs/>
                <w:sz w:val="20"/>
                <w:szCs w:val="20"/>
              </w:rPr>
              <w:t xml:space="preserve">Reference</w:t>
            </w:r>
          </w:p>
        </w:tc>
        <w:tc>
          <w:tcPr>
            <w:tcW w:type="dxa" w:w="3200"/>
            <w:shd w:fill="E7EAF0" w:color="auto" w:val="clear"/>
            <w:tcMar>
              <w:top w:type="dxa" w:w="90"/>
              <w:left w:type="dxa" w:w="130"/>
              <w:bottom w:type="dxa" w:w="90"/>
              <w:right w:type="dxa" w:w="130"/>
            </w:tcMar>
          </w:tcPr>
          <w:p>
            <w:pPr>
              <w:spacing w:after="0" w:line="260"/>
            </w:pPr>
            <w:r>
              <w:rPr>
                <w:b/>
                <w:bCs/>
                <w:sz w:val="20"/>
                <w:szCs w:val="20"/>
              </w:rPr>
              <w:t xml:space="preserve">Deficiency</w:t>
            </w:r>
          </w:p>
        </w:tc>
        <w:tc>
          <w:tcPr>
            <w:tcW w:type="dxa" w:w="4060"/>
            <w:shd w:fill="E7EAF0" w:color="auto" w:val="clear"/>
            <w:tcMar>
              <w:top w:type="dxa" w:w="90"/>
              <w:left w:type="dxa" w:w="130"/>
              <w:bottom w:type="dxa" w:w="90"/>
              <w:right w:type="dxa" w:w="130"/>
            </w:tcMar>
          </w:tcPr>
          <w:p>
            <w:pPr>
              <w:spacing w:after="0" w:line="260"/>
            </w:pPr>
            <w:r>
              <w:rPr>
                <w:b/>
                <w:bCs/>
                <w:sz w:val="20"/>
                <w:szCs w:val="20"/>
              </w:rPr>
              <w:t xml:space="preserve">Consequence</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W-14 / clause 7.3</w:t>
            </w:r>
          </w:p>
        </w:tc>
        <w:tc>
          <w:tcPr>
            <w:tcW w:type="dxa" w:w="3200"/>
            <w:tcMar>
              <w:top w:type="dxa" w:w="90"/>
              <w:left w:type="dxa" w:w="130"/>
              <w:bottom w:type="dxa" w:w="90"/>
              <w:right w:type="dxa" w:w="130"/>
            </w:tcMar>
          </w:tcPr>
          <w:p>
            <w:pPr>
              <w:spacing w:after="0" w:line="260"/>
            </w:pPr>
            <w:r>
              <w:rPr>
                <w:b w:val="false"/>
                <w:bCs w:val="false"/>
                <w:sz w:val="20"/>
                <w:szCs w:val="20"/>
              </w:rPr>
              <w:t xml:space="preserve">Training completion is 91%, with the residual 9% concentrated in Sales and the London office.</w:t>
            </w:r>
          </w:p>
        </w:tc>
        <w:tc>
          <w:tcPr>
            <w:tcW w:type="dxa" w:w="4060"/>
            <w:tcMar>
              <w:top w:type="dxa" w:w="90"/>
              <w:left w:type="dxa" w:w="130"/>
              <w:bottom w:type="dxa" w:w="90"/>
              <w:right w:type="dxa" w:w="130"/>
            </w:tcMar>
          </w:tcPr>
          <w:p>
            <w:pPr>
              <w:spacing w:after="0" w:line="260"/>
            </w:pPr>
            <w:r>
              <w:rPr>
                <w:b w:val="false"/>
                <w:bCs w:val="false"/>
                <w:sz w:val="20"/>
                <w:szCs w:val="20"/>
              </w:rPr>
              <w:t xml:space="preserve">Awareness cannot be evidenced for 55 workers. Clause 7.3 requires that all persons doing work under the organisation’s control are aware of the policy and the implications of not conforming.</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W-15 / A.6.3</w:t>
            </w:r>
          </w:p>
        </w:tc>
        <w:tc>
          <w:tcPr>
            <w:tcW w:type="dxa" w:w="3200"/>
            <w:tcMar>
              <w:top w:type="dxa" w:w="90"/>
              <w:left w:type="dxa" w:w="130"/>
              <w:bottom w:type="dxa" w:w="90"/>
              <w:right w:type="dxa" w:w="130"/>
            </w:tcMar>
          </w:tcPr>
          <w:p>
            <w:pPr>
              <w:spacing w:after="0" w:line="260"/>
            </w:pPr>
            <w:r>
              <w:rPr>
                <w:b w:val="false"/>
                <w:bCs w:val="false"/>
                <w:sz w:val="20"/>
                <w:szCs w:val="20"/>
              </w:rPr>
              <w:t xml:space="preserve">Phishing simulation results are not linked to any follow-up. Forty-seven repeat clickers have received no targeted intervention.</w:t>
            </w:r>
          </w:p>
        </w:tc>
        <w:tc>
          <w:tcPr>
            <w:tcW w:type="dxa" w:w="4060"/>
            <w:tcMar>
              <w:top w:type="dxa" w:w="90"/>
              <w:left w:type="dxa" w:w="130"/>
              <w:bottom w:type="dxa" w:w="90"/>
              <w:right w:type="dxa" w:w="130"/>
            </w:tcMar>
          </w:tcPr>
          <w:p>
            <w:pPr>
              <w:spacing w:after="0" w:line="260"/>
            </w:pPr>
            <w:r>
              <w:rPr>
                <w:b w:val="false"/>
                <w:bCs w:val="false"/>
                <w:sz w:val="20"/>
                <w:szCs w:val="20"/>
              </w:rPr>
              <w:t xml:space="preserve">The simulation programme measures the problem quarterly and does nothing about it. It generates a metric, not a control.</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A.6.3</w:t>
            </w:r>
          </w:p>
        </w:tc>
        <w:tc>
          <w:tcPr>
            <w:tcW w:type="dxa" w:w="3200"/>
            <w:tcMar>
              <w:top w:type="dxa" w:w="90"/>
              <w:left w:type="dxa" w:w="130"/>
              <w:bottom w:type="dxa" w:w="90"/>
              <w:right w:type="dxa" w:w="130"/>
            </w:tcMar>
          </w:tcPr>
          <w:p>
            <w:pPr>
              <w:spacing w:after="0" w:line="260"/>
            </w:pPr>
            <w:r>
              <w:rPr>
                <w:b w:val="false"/>
                <w:bCs w:val="false"/>
                <w:sz w:val="20"/>
                <w:szCs w:val="20"/>
              </w:rPr>
              <w:t xml:space="preserve">Training content is identical for all workers regardless of role or data access.</w:t>
            </w:r>
          </w:p>
        </w:tc>
        <w:tc>
          <w:tcPr>
            <w:tcW w:type="dxa" w:w="4060"/>
            <w:tcMar>
              <w:top w:type="dxa" w:w="90"/>
              <w:left w:type="dxa" w:w="130"/>
              <w:bottom w:type="dxa" w:w="90"/>
              <w:right w:type="dxa" w:w="130"/>
            </w:tcMar>
          </w:tcPr>
          <w:p>
            <w:pPr>
              <w:spacing w:after="0" w:line="260"/>
            </w:pPr>
            <w:r>
              <w:rPr>
                <w:b w:val="false"/>
                <w:bCs w:val="false"/>
                <w:sz w:val="20"/>
                <w:szCs w:val="20"/>
              </w:rPr>
              <w:t xml:space="preserve">A collections agent handling borrower credit files receives the same content as a marketing coordinator.</w:t>
            </w:r>
          </w:p>
        </w:tc>
      </w:tr>
    </w:tbl>
    <w:p>
      <w:pPr>
        <w:pStyle w:val="Heading1"/>
        <w:spacing w:after="160" w:before="320"/>
      </w:pPr>
      <w:r>
        <w:t xml:space="preserve">4. Governance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Role</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Responsibility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6760"/>
            <w:tcMar>
              <w:top w:type="dxa" w:w="90"/>
              <w:left w:type="dxa" w:w="130"/>
              <w:bottom w:type="dxa" w:w="90"/>
              <w:right w:type="dxa" w:w="130"/>
            </w:tcMar>
          </w:tcPr>
          <w:p>
            <w:pPr>
              <w:spacing w:after="0" w:line="260"/>
            </w:pPr>
            <w:r>
              <w:rPr>
                <w:b w:val="false"/>
                <w:bCs w:val="false"/>
                <w:sz w:val="20"/>
                <w:szCs w:val="20"/>
              </w:rPr>
              <w:t xml:space="preserve">Owns the programme; approves content and simulation design; reports performance to the Executive Risk Committee quarterly.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Head of Security Governance</w:t>
            </w:r>
          </w:p>
        </w:tc>
        <w:tc>
          <w:tcPr>
            <w:tcW w:type="dxa" w:w="6760"/>
            <w:tcMar>
              <w:top w:type="dxa" w:w="90"/>
              <w:left w:type="dxa" w:w="130"/>
              <w:bottom w:type="dxa" w:w="90"/>
              <w:right w:type="dxa" w:w="130"/>
            </w:tcMar>
          </w:tcPr>
          <w:p>
            <w:pPr>
              <w:spacing w:after="0" w:line="260"/>
            </w:pPr>
            <w:r>
              <w:rPr>
                <w:b w:val="false"/>
                <w:bCs w:val="false"/>
                <w:sz w:val="20"/>
                <w:szCs w:val="20"/>
              </w:rPr>
              <w:t xml:space="preserve">Operates the programme; maintains the curriculum; produces metrics; manages the awareness platform.</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Head of Security Operations</w:t>
            </w:r>
          </w:p>
        </w:tc>
        <w:tc>
          <w:tcPr>
            <w:tcW w:type="dxa" w:w="6760"/>
            <w:tcMar>
              <w:top w:type="dxa" w:w="90"/>
              <w:left w:type="dxa" w:w="130"/>
              <w:bottom w:type="dxa" w:w="90"/>
              <w:right w:type="dxa" w:w="130"/>
            </w:tcMar>
          </w:tcPr>
          <w:p>
            <w:pPr>
              <w:spacing w:after="0" w:line="260"/>
            </w:pPr>
            <w:r>
              <w:rPr>
                <w:b w:val="false"/>
                <w:bCs w:val="false"/>
                <w:sz w:val="20"/>
                <w:szCs w:val="20"/>
              </w:rPr>
              <w:t xml:space="preserve">Designs and executes simulation campaigns; operates the reporting channel; provides threat context to inform lure selection.</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People Operations</w:t>
            </w:r>
          </w:p>
        </w:tc>
        <w:tc>
          <w:tcPr>
            <w:tcW w:type="dxa" w:w="6760"/>
            <w:tcMar>
              <w:top w:type="dxa" w:w="90"/>
              <w:left w:type="dxa" w:w="130"/>
              <w:bottom w:type="dxa" w:w="90"/>
              <w:right w:type="dxa" w:w="130"/>
            </w:tcMar>
          </w:tcPr>
          <w:p>
            <w:pPr>
              <w:spacing w:after="0" w:line="260"/>
            </w:pPr>
            <w:r>
              <w:rPr>
                <w:b w:val="false"/>
                <w:bCs w:val="false"/>
                <w:sz w:val="20"/>
                <w:szCs w:val="20"/>
              </w:rPr>
              <w:t xml:space="preserve">Integrates induction training into onboarding; escalates persistent non-completion through the line; advises on the treatment of individual cases.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Line managers</w:t>
            </w:r>
          </w:p>
        </w:tc>
        <w:tc>
          <w:tcPr>
            <w:tcW w:type="dxa" w:w="6760"/>
            <w:tcMar>
              <w:top w:type="dxa" w:w="90"/>
              <w:left w:type="dxa" w:w="130"/>
              <w:bottom w:type="dxa" w:w="90"/>
              <w:right w:type="dxa" w:w="130"/>
            </w:tcMar>
          </w:tcPr>
          <w:p>
            <w:pPr>
              <w:spacing w:after="0" w:line="260"/>
            </w:pPr>
            <w:r>
              <w:rPr>
                <w:b w:val="false"/>
                <w:bCs w:val="false"/>
                <w:sz w:val="20"/>
                <w:szCs w:val="20"/>
              </w:rPr>
              <w:t xml:space="preserve">Ensure their teams complete assigned training; conduct the one-to-one conversation required for repeat clickers; are accountable for their team’s completion rate.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Function heads</w:t>
            </w:r>
          </w:p>
        </w:tc>
        <w:tc>
          <w:tcPr>
            <w:tcW w:type="dxa" w:w="6760"/>
            <w:tcMar>
              <w:top w:type="dxa" w:w="90"/>
              <w:left w:type="dxa" w:w="130"/>
              <w:bottom w:type="dxa" w:w="90"/>
              <w:right w:type="dxa" w:w="130"/>
            </w:tcMar>
          </w:tcPr>
          <w:p>
            <w:pPr>
              <w:spacing w:after="0" w:line="260"/>
            </w:pPr>
            <w:r>
              <w:rPr>
                <w:b w:val="false"/>
                <w:bCs w:val="false"/>
                <w:sz w:val="20"/>
                <w:szCs w:val="20"/>
              </w:rPr>
              <w:t xml:space="preserve">Own the awareness performance of their function and are reported on by name at the Security Steering Group.</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All workers</w:t>
            </w:r>
          </w:p>
        </w:tc>
        <w:tc>
          <w:tcPr>
            <w:tcW w:type="dxa" w:w="6760"/>
            <w:tcMar>
              <w:top w:type="dxa" w:w="90"/>
              <w:left w:type="dxa" w:w="130"/>
              <w:bottom w:type="dxa" w:w="90"/>
              <w:right w:type="dxa" w:w="130"/>
            </w:tcMar>
          </w:tcPr>
          <w:p>
            <w:pPr>
              <w:spacing w:after="0" w:line="260"/>
            </w:pPr>
            <w:r>
              <w:rPr>
                <w:b w:val="false"/>
                <w:bCs w:val="false"/>
                <w:sz w:val="20"/>
                <w:szCs w:val="20"/>
              </w:rPr>
              <w:t xml:space="preserve">Complete assigned training within the stated period; report suspicious messages; apply what the training covers.</w:t>
            </w:r>
          </w:p>
        </w:tc>
      </w:tr>
    </w:tbl>
    <w:p>
      <w:pPr>
        <w:pStyle w:val="Heading1"/>
        <w:spacing w:after="160" w:before="320"/>
      </w:pPr>
      <w:r>
        <w:t xml:space="preserve">5. Programme structure</w:t>
      </w:r>
    </w:p>
    <w:p>
      <w:pPr>
        <w:spacing w:after="140" w:line="276"/>
      </w:pPr>
      <w:r>
        <w:rPr>
          <w:sz w:val="22"/>
          <w:szCs w:val="22"/>
        </w:rPr>
        <w:t xml:space="preserve">The programme has five components. They are complementary: none of them works alone, and the simulation component in particular is worthless without the intervention component that follows it.</w:t>
      </w:r>
    </w:p>
    <w:p>
      <w:pPr>
        <w:pStyle w:val="Heading2"/>
        <w:spacing w:after="120" w:before="240"/>
      </w:pPr>
      <w:r>
        <w:t xml:space="preserve">5.1 Core annual training</w:t>
      </w:r>
    </w:p>
    <w:p>
      <w:pPr>
        <w:spacing w:after="140" w:line="276"/>
      </w:pPr>
      <w:r>
        <w:rPr>
          <w:sz w:val="22"/>
          <w:szCs w:val="22"/>
        </w:rPr>
        <w:t xml:space="preserve">A single 45-minute module completed by every worker each year, covering acceptable use, information classification and handling, phishing and social engineering, incident reporting obligations, and remote working. Delivered in a rolling window with a personal deadline set from the worker’s anniversary date, rather than a single company-wide window that concentrates non-completion at year end.</w:t>
      </w:r>
    </w:p>
    <w:p>
      <w:pPr>
        <w:spacing w:after="140" w:line="276"/>
      </w:pPr>
      <w:r>
        <w:rPr>
          <w:sz w:val="22"/>
          <w:szCs w:val="22"/>
        </w:rPr>
        <w:t xml:space="preserve">New joiners complete an abridged induction version before system access is provisioned. This is already the practice and is retained.</w:t>
      </w:r>
    </w:p>
    <w:p>
      <w:pPr>
        <w:pStyle w:val="Heading2"/>
        <w:spacing w:after="120" w:before="240"/>
      </w:pPr>
      <w:r>
        <w:t xml:space="preserve">5.2 Role-based training</w:t>
      </w:r>
    </w:p>
    <w:p>
      <w:pPr>
        <w:spacing w:after="140" w:line="276"/>
      </w:pPr>
      <w:r>
        <w:rPr>
          <w:sz w:val="22"/>
          <w:szCs w:val="22"/>
        </w:rPr>
        <w:t xml:space="preserve">An additional module assigned by job family and by data access. This is the component that does not currently exist.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200"/>
        <w:gridCol w:w="576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Audience</w:t>
            </w:r>
          </w:p>
        </w:tc>
        <w:tc>
          <w:tcPr>
            <w:tcW w:type="dxa" w:w="1200"/>
            <w:shd w:fill="E7EAF0" w:color="auto" w:val="clear"/>
            <w:tcMar>
              <w:top w:type="dxa" w:w="90"/>
              <w:left w:type="dxa" w:w="130"/>
              <w:bottom w:type="dxa" w:w="90"/>
              <w:right w:type="dxa" w:w="130"/>
            </w:tcMar>
          </w:tcPr>
          <w:p>
            <w:pPr>
              <w:spacing w:after="0" w:line="260"/>
            </w:pPr>
            <w:r>
              <w:rPr>
                <w:b/>
                <w:bCs/>
                <w:sz w:val="20"/>
                <w:szCs w:val="20"/>
              </w:rPr>
              <w:t xml:space="preserve">Duration</w:t>
            </w:r>
          </w:p>
        </w:tc>
        <w:tc>
          <w:tcPr>
            <w:tcW w:type="dxa" w:w="5760"/>
            <w:shd w:fill="E7EAF0" w:color="auto" w:val="clear"/>
            <w:tcMar>
              <w:top w:type="dxa" w:w="90"/>
              <w:left w:type="dxa" w:w="130"/>
              <w:bottom w:type="dxa" w:w="90"/>
              <w:right w:type="dxa" w:w="130"/>
            </w:tcMar>
          </w:tcPr>
          <w:p>
            <w:pPr>
              <w:spacing w:after="0" w:line="260"/>
            </w:pPr>
            <w:r>
              <w:rPr>
                <w:b/>
                <w:bCs/>
                <w:sz w:val="20"/>
                <w:szCs w:val="20"/>
              </w:rPr>
              <w:t xml:space="preserve">Content</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Engineering and Platform</w:t>
            </w:r>
          </w:p>
        </w:tc>
        <w:tc>
          <w:tcPr>
            <w:tcW w:type="dxa" w:w="1200"/>
            <w:tcMar>
              <w:top w:type="dxa" w:w="90"/>
              <w:left w:type="dxa" w:w="130"/>
              <w:bottom w:type="dxa" w:w="90"/>
              <w:right w:type="dxa" w:w="130"/>
            </w:tcMar>
          </w:tcPr>
          <w:p>
            <w:pPr>
              <w:spacing w:after="0" w:line="260"/>
            </w:pPr>
            <w:r>
              <w:rPr>
                <w:b w:val="false"/>
                <w:bCs w:val="false"/>
                <w:sz w:val="20"/>
                <w:szCs w:val="20"/>
              </w:rPr>
              <w:t xml:space="preserve">90 min</w:t>
            </w:r>
          </w:p>
        </w:tc>
        <w:tc>
          <w:tcPr>
            <w:tcW w:type="dxa" w:w="5760"/>
            <w:tcMar>
              <w:top w:type="dxa" w:w="90"/>
              <w:left w:type="dxa" w:w="130"/>
              <w:bottom w:type="dxa" w:w="90"/>
              <w:right w:type="dxa" w:w="130"/>
            </w:tcMar>
          </w:tcPr>
          <w:p>
            <w:pPr>
              <w:spacing w:after="0" w:line="260"/>
            </w:pPr>
            <w:r>
              <w:rPr>
                <w:b w:val="false"/>
                <w:bCs w:val="false"/>
                <w:sz w:val="20"/>
                <w:szCs w:val="20"/>
              </w:rPr>
              <w:t xml:space="preserve">Secure coding by language; secrets handling; dependency risk; environment separation and the prohibition on production data in test. Threat modelling for team leads, supporting the introduction of that practice under A.8.25.</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Customer Operations and Support</w:t>
            </w:r>
          </w:p>
        </w:tc>
        <w:tc>
          <w:tcPr>
            <w:tcW w:type="dxa" w:w="1200"/>
            <w:tcMar>
              <w:top w:type="dxa" w:w="90"/>
              <w:left w:type="dxa" w:w="130"/>
              <w:bottom w:type="dxa" w:w="90"/>
              <w:right w:type="dxa" w:w="130"/>
            </w:tcMar>
          </w:tcPr>
          <w:p>
            <w:pPr>
              <w:spacing w:after="0" w:line="260"/>
            </w:pPr>
            <w:r>
              <w:rPr>
                <w:b w:val="false"/>
                <w:bCs w:val="false"/>
                <w:sz w:val="20"/>
                <w:szCs w:val="20"/>
              </w:rPr>
              <w:t xml:space="preserve">60 min</w:t>
            </w:r>
          </w:p>
        </w:tc>
        <w:tc>
          <w:tcPr>
            <w:tcW w:type="dxa" w:w="5760"/>
            <w:tcMar>
              <w:top w:type="dxa" w:w="90"/>
              <w:left w:type="dxa" w:w="130"/>
              <w:bottom w:type="dxa" w:w="90"/>
              <w:right w:type="dxa" w:w="130"/>
            </w:tcMar>
          </w:tcPr>
          <w:p>
            <w:pPr>
              <w:spacing w:after="0" w:line="260"/>
            </w:pPr>
            <w:r>
              <w:rPr>
                <w:b w:val="false"/>
                <w:bCs w:val="false"/>
                <w:sz w:val="20"/>
                <w:szCs w:val="20"/>
              </w:rPr>
              <w:t xml:space="preserve">Voice and message-based social engineering; caller verification; handling of borrower personal data in dispute cases; escalation when a caller requests Restricted information.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Sales and Partnerships</w:t>
            </w:r>
          </w:p>
        </w:tc>
        <w:tc>
          <w:tcPr>
            <w:tcW w:type="dxa" w:w="1200"/>
            <w:tcMar>
              <w:top w:type="dxa" w:w="90"/>
              <w:left w:type="dxa" w:w="130"/>
              <w:bottom w:type="dxa" w:w="90"/>
              <w:right w:type="dxa" w:w="130"/>
            </w:tcMar>
          </w:tcPr>
          <w:p>
            <w:pPr>
              <w:spacing w:after="0" w:line="260"/>
            </w:pPr>
            <w:r>
              <w:rPr>
                <w:b w:val="false"/>
                <w:bCs w:val="false"/>
                <w:sz w:val="20"/>
                <w:szCs w:val="20"/>
              </w:rPr>
              <w:t xml:space="preserve">60 min</w:t>
            </w:r>
          </w:p>
        </w:tc>
        <w:tc>
          <w:tcPr>
            <w:tcW w:type="dxa" w:w="5760"/>
            <w:tcMar>
              <w:top w:type="dxa" w:w="90"/>
              <w:left w:type="dxa" w:w="130"/>
              <w:bottom w:type="dxa" w:w="90"/>
              <w:right w:type="dxa" w:w="130"/>
            </w:tcMar>
          </w:tcPr>
          <w:p>
            <w:pPr>
              <w:spacing w:after="0" w:line="260"/>
            </w:pPr>
            <w:r>
              <w:rPr>
                <w:b w:val="false"/>
                <w:bCs w:val="false"/>
                <w:sz w:val="20"/>
                <w:szCs w:val="20"/>
              </w:rPr>
              <w:t xml:space="preserve">Data sharing and NDA discipline; what may and may not be sent to a prospect; software-as-a-service procurement and why adopting a tool without assessment is prohibited; customer security questionnaire handling.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Risk, Credit and Underwriting</w:t>
            </w:r>
          </w:p>
        </w:tc>
        <w:tc>
          <w:tcPr>
            <w:tcW w:type="dxa" w:w="1200"/>
            <w:tcMar>
              <w:top w:type="dxa" w:w="90"/>
              <w:left w:type="dxa" w:w="130"/>
              <w:bottom w:type="dxa" w:w="90"/>
              <w:right w:type="dxa" w:w="130"/>
            </w:tcMar>
          </w:tcPr>
          <w:p>
            <w:pPr>
              <w:spacing w:after="0" w:line="260"/>
            </w:pPr>
            <w:r>
              <w:rPr>
                <w:b w:val="false"/>
                <w:bCs w:val="false"/>
                <w:sz w:val="20"/>
                <w:szCs w:val="20"/>
              </w:rPr>
              <w:t xml:space="preserve">60 min</w:t>
            </w:r>
          </w:p>
        </w:tc>
        <w:tc>
          <w:tcPr>
            <w:tcW w:type="dxa" w:w="5760"/>
            <w:tcMar>
              <w:top w:type="dxa" w:w="90"/>
              <w:left w:type="dxa" w:w="130"/>
              <w:bottom w:type="dxa" w:w="90"/>
              <w:right w:type="dxa" w:w="130"/>
            </w:tcMar>
          </w:tcPr>
          <w:p>
            <w:pPr>
              <w:spacing w:after="0" w:line="260"/>
            </w:pPr>
            <w:r>
              <w:rPr>
                <w:b w:val="false"/>
                <w:bCs w:val="false"/>
                <w:sz w:val="20"/>
                <w:szCs w:val="20"/>
              </w:rPr>
              <w:t xml:space="preserve">Personal data minimisation; lawful basis; handling of credit files; retention obligations and why data is deleted rather than kept.</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Finance and Legal</w:t>
            </w:r>
          </w:p>
        </w:tc>
        <w:tc>
          <w:tcPr>
            <w:tcW w:type="dxa" w:w="1200"/>
            <w:tcMar>
              <w:top w:type="dxa" w:w="90"/>
              <w:left w:type="dxa" w:w="130"/>
              <w:bottom w:type="dxa" w:w="90"/>
              <w:right w:type="dxa" w:w="130"/>
            </w:tcMar>
          </w:tcPr>
          <w:p>
            <w:pPr>
              <w:spacing w:after="0" w:line="260"/>
            </w:pPr>
            <w:r>
              <w:rPr>
                <w:b w:val="false"/>
                <w:bCs w:val="false"/>
                <w:sz w:val="20"/>
                <w:szCs w:val="20"/>
              </w:rPr>
              <w:t xml:space="preserve">60 min</w:t>
            </w:r>
          </w:p>
        </w:tc>
        <w:tc>
          <w:tcPr>
            <w:tcW w:type="dxa" w:w="5760"/>
            <w:tcMar>
              <w:top w:type="dxa" w:w="90"/>
              <w:left w:type="dxa" w:w="130"/>
              <w:bottom w:type="dxa" w:w="90"/>
              <w:right w:type="dxa" w:w="130"/>
            </w:tcMar>
          </w:tcPr>
          <w:p>
            <w:pPr>
              <w:spacing w:after="0" w:line="260"/>
            </w:pPr>
            <w:r>
              <w:rPr>
                <w:b w:val="false"/>
                <w:bCs w:val="false"/>
                <w:sz w:val="20"/>
                <w:szCs w:val="20"/>
              </w:rPr>
              <w:t xml:space="preserve">Business email compromise; payment instruction verification and the call-back requirement; invoice fraud; supplier bank detail change procedures.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Product and Design</w:t>
            </w:r>
          </w:p>
        </w:tc>
        <w:tc>
          <w:tcPr>
            <w:tcW w:type="dxa" w:w="1200"/>
            <w:tcMar>
              <w:top w:type="dxa" w:w="90"/>
              <w:left w:type="dxa" w:w="130"/>
              <w:bottom w:type="dxa" w:w="90"/>
              <w:right w:type="dxa" w:w="130"/>
            </w:tcMar>
          </w:tcPr>
          <w:p>
            <w:pPr>
              <w:spacing w:after="0" w:line="260"/>
            </w:pPr>
            <w:r>
              <w:rPr>
                <w:b w:val="false"/>
                <w:bCs w:val="false"/>
                <w:sz w:val="20"/>
                <w:szCs w:val="20"/>
              </w:rPr>
              <w:t xml:space="preserve">45 min</w:t>
            </w:r>
          </w:p>
        </w:tc>
        <w:tc>
          <w:tcPr>
            <w:tcW w:type="dxa" w:w="5760"/>
            <w:tcMar>
              <w:top w:type="dxa" w:w="90"/>
              <w:left w:type="dxa" w:w="130"/>
              <w:bottom w:type="dxa" w:w="90"/>
              <w:right w:type="dxa" w:w="130"/>
            </w:tcMar>
          </w:tcPr>
          <w:p>
            <w:pPr>
              <w:spacing w:after="0" w:line="260"/>
            </w:pPr>
            <w:r>
              <w:rPr>
                <w:b w:val="false"/>
                <w:bCs w:val="false"/>
                <w:sz w:val="20"/>
                <w:szCs w:val="20"/>
              </w:rPr>
              <w:t xml:space="preserve">Privacy by design; data minimisation in feature specification; security acceptance criteria.</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Privileged access holders</w:t>
            </w:r>
          </w:p>
        </w:tc>
        <w:tc>
          <w:tcPr>
            <w:tcW w:type="dxa" w:w="1200"/>
            <w:tcMar>
              <w:top w:type="dxa" w:w="90"/>
              <w:left w:type="dxa" w:w="130"/>
              <w:bottom w:type="dxa" w:w="90"/>
              <w:right w:type="dxa" w:w="130"/>
            </w:tcMar>
          </w:tcPr>
          <w:p>
            <w:pPr>
              <w:spacing w:after="0" w:line="260"/>
            </w:pPr>
            <w:r>
              <w:rPr>
                <w:b w:val="false"/>
                <w:bCs w:val="false"/>
                <w:sz w:val="20"/>
                <w:szCs w:val="20"/>
              </w:rPr>
              <w:t xml:space="preserve">30 min</w:t>
            </w:r>
          </w:p>
        </w:tc>
        <w:tc>
          <w:tcPr>
            <w:tcW w:type="dxa" w:w="5760"/>
            <w:tcMar>
              <w:top w:type="dxa" w:w="90"/>
              <w:left w:type="dxa" w:w="130"/>
              <w:bottom w:type="dxa" w:w="90"/>
              <w:right w:type="dxa" w:w="130"/>
            </w:tcMar>
          </w:tcPr>
          <w:p>
            <w:pPr>
              <w:spacing w:after="0" w:line="260"/>
            </w:pPr>
            <w:r>
              <w:rPr>
                <w:b w:val="false"/>
                <w:bCs w:val="false"/>
                <w:sz w:val="20"/>
                <w:szCs w:val="20"/>
              </w:rPr>
              <w:t xml:space="preserve">Additional module on privileged access workstation use, credential handling, break-glass procedure and session recording.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Line managers</w:t>
            </w:r>
          </w:p>
        </w:tc>
        <w:tc>
          <w:tcPr>
            <w:tcW w:type="dxa" w:w="1200"/>
            <w:tcMar>
              <w:top w:type="dxa" w:w="90"/>
              <w:left w:type="dxa" w:w="130"/>
              <w:bottom w:type="dxa" w:w="90"/>
              <w:right w:type="dxa" w:w="130"/>
            </w:tcMar>
          </w:tcPr>
          <w:p>
            <w:pPr>
              <w:spacing w:after="0" w:line="260"/>
            </w:pPr>
            <w:r>
              <w:rPr>
                <w:b w:val="false"/>
                <w:bCs w:val="false"/>
                <w:sz w:val="20"/>
                <w:szCs w:val="20"/>
              </w:rPr>
              <w:t xml:space="preserve">20 min</w:t>
            </w:r>
          </w:p>
        </w:tc>
        <w:tc>
          <w:tcPr>
            <w:tcW w:type="dxa" w:w="5760"/>
            <w:tcMar>
              <w:top w:type="dxa" w:w="90"/>
              <w:left w:type="dxa" w:w="130"/>
              <w:bottom w:type="dxa" w:w="90"/>
              <w:right w:type="dxa" w:w="130"/>
            </w:tcMar>
          </w:tcPr>
          <w:p>
            <w:pPr>
              <w:spacing w:after="0" w:line="260"/>
            </w:pPr>
            <w:r>
              <w:rPr>
                <w:b w:val="false"/>
                <w:bCs w:val="false"/>
                <w:sz w:val="20"/>
                <w:szCs w:val="20"/>
              </w:rPr>
              <w:t xml:space="preserve">Manager obligations: joiner, mover and leaver actions; access recertification; what to do when a team member reports or fails a simulation.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Executive and senior leadership</w:t>
            </w:r>
          </w:p>
        </w:tc>
        <w:tc>
          <w:tcPr>
            <w:tcW w:type="dxa" w:w="1200"/>
            <w:tcMar>
              <w:top w:type="dxa" w:w="90"/>
              <w:left w:type="dxa" w:w="130"/>
              <w:bottom w:type="dxa" w:w="90"/>
              <w:right w:type="dxa" w:w="130"/>
            </w:tcMar>
          </w:tcPr>
          <w:p>
            <w:pPr>
              <w:spacing w:after="0" w:line="260"/>
            </w:pPr>
            <w:r>
              <w:rPr>
                <w:b w:val="false"/>
                <w:bCs w:val="false"/>
                <w:sz w:val="20"/>
                <w:szCs w:val="20"/>
              </w:rPr>
              <w:t xml:space="preserve">Annual briefing</w:t>
            </w:r>
          </w:p>
        </w:tc>
        <w:tc>
          <w:tcPr>
            <w:tcW w:type="dxa" w:w="5760"/>
            <w:tcMar>
              <w:top w:type="dxa" w:w="90"/>
              <w:left w:type="dxa" w:w="130"/>
              <w:bottom w:type="dxa" w:w="90"/>
              <w:right w:type="dxa" w:w="130"/>
            </w:tcMar>
          </w:tcPr>
          <w:p>
            <w:pPr>
              <w:spacing w:after="0" w:line="260"/>
            </w:pPr>
            <w:r>
              <w:rPr>
                <w:b w:val="false"/>
                <w:bCs w:val="false"/>
                <w:sz w:val="20"/>
                <w:szCs w:val="20"/>
              </w:rPr>
              <w:t xml:space="preserve">Threat landscape specific to payments and lending; incident decision-making; participation in at least one tabletop exercise per year.</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All workers — financial crime</w:t>
            </w:r>
          </w:p>
        </w:tc>
        <w:tc>
          <w:tcPr>
            <w:tcW w:type="dxa" w:w="1200"/>
            <w:tcMar>
              <w:top w:type="dxa" w:w="90"/>
              <w:left w:type="dxa" w:w="130"/>
              <w:bottom w:type="dxa" w:w="90"/>
              <w:right w:type="dxa" w:w="130"/>
            </w:tcMar>
          </w:tcPr>
          <w:p>
            <w:pPr>
              <w:spacing w:after="0" w:line="260"/>
            </w:pPr>
            <w:r>
              <w:rPr>
                <w:b w:val="false"/>
                <w:bCs w:val="false"/>
                <w:sz w:val="20"/>
                <w:szCs w:val="20"/>
              </w:rPr>
              <w:t xml:space="preserve">60 min</w:t>
            </w:r>
          </w:p>
        </w:tc>
        <w:tc>
          <w:tcPr>
            <w:tcW w:type="dxa" w:w="5760"/>
            <w:tcMar>
              <w:top w:type="dxa" w:w="90"/>
              <w:left w:type="dxa" w:w="130"/>
              <w:bottom w:type="dxa" w:w="90"/>
              <w:right w:type="dxa" w:w="130"/>
            </w:tcMar>
          </w:tcPr>
          <w:p>
            <w:pPr>
              <w:spacing w:after="0" w:line="260"/>
            </w:pPr>
            <w:r>
              <w:rPr>
                <w:b w:val="false"/>
                <w:bCs w:val="false"/>
                <w:sz w:val="20"/>
                <w:szCs w:val="20"/>
              </w:rPr>
              <w:t xml:space="preserve">Statutory. See section 5.2A. Delivered by Legal and Compliance, tracked through this programme.</w:t>
            </w:r>
          </w:p>
        </w:tc>
      </w:tr>
    </w:tbl>
    <w:p>
      <w:pPr>
        <w:pStyle w:val="Heading2"/>
        <w:spacing w:after="120" w:before="240"/>
      </w:pPr>
      <w:r>
        <w:t xml:space="preserve">5.2A Statutory financial crime training</w:t>
      </w:r>
    </w:p>
    <w:p>
      <w:pPr>
        <w:spacing w:after="140" w:line="276"/>
      </w:pPr>
      <w:r>
        <w:rPr>
          <w:sz w:val="22"/>
          <w:szCs w:val="22"/>
        </w:rPr>
        <w:t xml:space="preserve">This subsection is added at version 1.2. Its omission from version 1.0 was a material error: the programme document set out the company’s entire training obligation and left out the only element of it that is required by law.</w:t>
      </w:r>
    </w:p>
    <w:p>
      <w:pPr>
        <w:spacing w:after="140" w:line="276"/>
      </w:pPr>
      <w:r>
        <w:rPr>
          <w:sz w:val="22"/>
          <w:szCs w:val="22"/>
        </w:rPr>
        <w:t xml:space="preserve">Aldridge is a money services business licensed in forty-four states, operating under a sponsor bank arrangement, with an FCA-authorised subsidiary. Anti-money laundering training is a mandatory pillar of the Bank Secrecy Act compliance programme and is required of the UK entity under the Money Laundering Regulations 2017. It is not a security awareness matter and it is not discretionary.</w:t>
      </w:r>
    </w:p>
    <w:p>
      <w:pPr>
        <w:pStyle w:val="ListParagraph"/>
        <w:numPr>
          <w:ilvl w:val="0"/>
          <w:numId w:val="2"/>
        </w:numPr>
        <w:spacing w:after="80" w:line="276"/>
      </w:pPr>
      <w:r>
        <w:rPr>
          <w:sz w:val="22"/>
          <w:szCs w:val="22"/>
        </w:rPr>
        <w:t xml:space="preserve">Content and delivery are owned by Legal and Compliance, not by Information Security. This programme provides the assignment, tracking, escalation and reporting machinery, so that completion is visible in one place rather than two.</w:t>
      </w:r>
    </w:p>
    <w:p>
      <w:pPr>
        <w:pStyle w:val="ListParagraph"/>
        <w:numPr>
          <w:ilvl w:val="0"/>
          <w:numId w:val="2"/>
        </w:numPr>
        <w:spacing w:after="80" w:line="276"/>
      </w:pPr>
      <w:r>
        <w:rPr>
          <w:sz w:val="22"/>
          <w:szCs w:val="22"/>
        </w:rPr>
        <w:t xml:space="preserve">Delivered at induction before customer-facing or transaction-handling access is granted, and annually thereafter to every worker.</w:t>
      </w:r>
    </w:p>
    <w:p>
      <w:pPr>
        <w:pStyle w:val="ListParagraph"/>
        <w:numPr>
          <w:ilvl w:val="0"/>
          <w:numId w:val="2"/>
        </w:numPr>
        <w:spacing w:after="80" w:line="276"/>
      </w:pPr>
      <w:r>
        <w:rPr>
          <w:sz w:val="22"/>
          <w:szCs w:val="22"/>
        </w:rPr>
        <w:t xml:space="preserve">Enhanced content for onboarding, underwriting, servicing, disputes, payments and finance roles, covering typologies relevant to embedded payments and small-business lending: synthetic identity, merchant transaction laundering, structuring, bust-out patterns and sanctions evasion indicators.</w:t>
      </w:r>
    </w:p>
    <w:p>
      <w:pPr>
        <w:pStyle w:val="ListParagraph"/>
        <w:numPr>
          <w:ilvl w:val="0"/>
          <w:numId w:val="2"/>
        </w:numPr>
        <w:spacing w:after="80" w:line="276"/>
      </w:pPr>
      <w:r>
        <w:rPr>
          <w:sz w:val="22"/>
          <w:szCs w:val="22"/>
        </w:rPr>
        <w:t xml:space="preserve">Sanctions-specific content covering screening, what constitutes a possible match, the escalation route, and the strict liability position.</w:t>
      </w:r>
    </w:p>
    <w:p>
      <w:pPr>
        <w:pStyle w:val="ListParagraph"/>
        <w:numPr>
          <w:ilvl w:val="0"/>
          <w:numId w:val="2"/>
        </w:numPr>
        <w:spacing w:after="80" w:line="276"/>
      </w:pPr>
      <w:r>
        <w:rPr>
          <w:sz w:val="22"/>
          <w:szCs w:val="22"/>
        </w:rPr>
        <w:t xml:space="preserve">Tipping-off content for every role with customer contact, covering what may and may not be said about a restricted or blocked account. This is a criminal offence in the United Kingdom and the training must be explicit about that.</w:t>
      </w:r>
    </w:p>
    <w:p>
      <w:pPr>
        <w:pStyle w:val="ListParagraph"/>
        <w:numPr>
          <w:ilvl w:val="0"/>
          <w:numId w:val="2"/>
        </w:numPr>
        <w:spacing w:after="80" w:line="276"/>
      </w:pPr>
      <w:r>
        <w:rPr>
          <w:sz w:val="22"/>
          <w:szCs w:val="22"/>
        </w:rPr>
        <w:t xml:space="preserve">Completion is reported to the ERC and to the sponsor bank as part of the BSA programme reporting, and is examinable. Non-completion is escalated on the same pathway as section 7 but without the discretion available there, because the obligation is statutory.</w:t>
      </w:r>
    </w:p>
    <w:p>
      <w:pPr>
        <w:spacing w:after="140" w:line="276"/>
      </w:pPr>
      <w:r>
        <w:rPr>
          <w:sz w:val="22"/>
          <w:szCs w:val="22"/>
        </w:rPr>
        <w:t xml:space="preserve">One consequence of this addition should be recorded. Meridian BPO agents handle Aldridge disputes and can see restricted accounts, and third-party personnel are outside the scope of this programme by section 2. Finding F-18 of the third-party assessment requires binding handling instructions and training for those agents. Until that is delivered, a population with customer contact and visibility of restricted accounts has received no tipping-off training from any source.</w:t>
      </w:r>
    </w:p>
    <w:p>
      <w:pPr>
        <w:pStyle w:val="Heading2"/>
        <w:spacing w:after="120" w:before="240"/>
      </w:pPr>
      <w:r>
        <w:t xml:space="preserve">5.3 Simulated phishing</w:t>
      </w:r>
    </w:p>
    <w:p>
      <w:pPr>
        <w:spacing w:after="140" w:line="276"/>
      </w:pPr>
      <w:r>
        <w:rPr>
          <w:sz w:val="22"/>
          <w:szCs w:val="22"/>
        </w:rPr>
        <w:t xml:space="preserve">Quarterly campaigns against the full population, with results feeding directly into the intervention matrix at section 7. Campaign design principles:</w:t>
      </w:r>
    </w:p>
    <w:p>
      <w:pPr>
        <w:pStyle w:val="ListParagraph"/>
        <w:numPr>
          <w:ilvl w:val="0"/>
          <w:numId w:val="2"/>
        </w:numPr>
        <w:spacing w:after="80" w:line="276"/>
      </w:pPr>
      <w:r>
        <w:rPr>
          <w:sz w:val="22"/>
          <w:szCs w:val="22"/>
        </w:rPr>
        <w:t xml:space="preserve">Difficulty is tiered. Tier 1 lures are obvious; Tier 2 are plausible and generic; Tier 3 are contextual and targeted, using publicly available information about the recipient’s role. Functions handling Restricted data receive Tier 3 at least twice a year.</w:t>
      </w:r>
    </w:p>
    <w:p>
      <w:pPr>
        <w:pStyle w:val="ListParagraph"/>
        <w:numPr>
          <w:ilvl w:val="0"/>
          <w:numId w:val="2"/>
        </w:numPr>
        <w:spacing w:after="80" w:line="276"/>
      </w:pPr>
      <w:r>
        <w:rPr>
          <w:sz w:val="22"/>
          <w:szCs w:val="22"/>
        </w:rPr>
        <w:t xml:space="preserve">Difficulty is disclosed in reporting. A falling click rate achieved by lowering difficulty is not an improvement, and the tier is recorded alongside every result so that trend is interpretable.</w:t>
      </w:r>
    </w:p>
    <w:p>
      <w:pPr>
        <w:pStyle w:val="ListParagraph"/>
        <w:numPr>
          <w:ilvl w:val="0"/>
          <w:numId w:val="2"/>
        </w:numPr>
        <w:spacing w:after="80" w:line="276"/>
      </w:pPr>
      <w:r>
        <w:rPr>
          <w:sz w:val="22"/>
          <w:szCs w:val="22"/>
        </w:rPr>
        <w:t xml:space="preserve">The channel is varied across the year: email, SMS, voice, QR code, and multi-factor authentication fatigue prompts. Restricting simulation to email trains workers to be vigilant in one channel only.</w:t>
      </w:r>
    </w:p>
    <w:p>
      <w:pPr>
        <w:pStyle w:val="ListParagraph"/>
        <w:numPr>
          <w:ilvl w:val="0"/>
          <w:numId w:val="2"/>
        </w:numPr>
        <w:spacing w:after="80" w:line="276"/>
      </w:pPr>
      <w:r>
        <w:rPr>
          <w:sz w:val="22"/>
          <w:szCs w:val="22"/>
        </w:rPr>
        <w:t xml:space="preserve">Lures are approved by the CISO and are subject to the constraints at section 9.</w:t>
      </w:r>
    </w:p>
    <w:p>
      <w:pPr>
        <w:pStyle w:val="Heading2"/>
        <w:spacing w:after="120" w:before="240"/>
      </w:pPr>
      <w:r>
        <w:t xml:space="preserve">5.4 Targeted intervention</w:t>
      </w:r>
    </w:p>
    <w:p>
      <w:pPr>
        <w:spacing w:after="140" w:line="276"/>
      </w:pPr>
      <w:r>
        <w:rPr>
          <w:sz w:val="22"/>
          <w:szCs w:val="22"/>
        </w:rPr>
        <w:t xml:space="preserve">Every simulation outcome triggers a defined response, set out in full at section 7. This is the component whose absence is recorded as W-15, and it is the single most important change this programme makes.</w:t>
      </w:r>
    </w:p>
    <w:p>
      <w:pPr>
        <w:pStyle w:val="Heading2"/>
        <w:spacing w:after="120" w:before="240"/>
      </w:pPr>
      <w:r>
        <w:t xml:space="preserve">5.5 Continuous reinforcement</w:t>
      </w:r>
    </w:p>
    <w:p>
      <w:pPr>
        <w:pStyle w:val="ListParagraph"/>
        <w:numPr>
          <w:ilvl w:val="0"/>
          <w:numId w:val="2"/>
        </w:numPr>
        <w:spacing w:after="80" w:line="276"/>
      </w:pPr>
      <w:r>
        <w:rPr>
          <w:sz w:val="22"/>
          <w:szCs w:val="22"/>
        </w:rPr>
        <w:t xml:space="preserve">Monthly micro-content of no more than three minutes, distributed through the existing internal channels.</w:t>
      </w:r>
    </w:p>
    <w:p>
      <w:pPr>
        <w:pStyle w:val="ListParagraph"/>
        <w:numPr>
          <w:ilvl w:val="0"/>
          <w:numId w:val="2"/>
        </w:numPr>
        <w:spacing w:after="80" w:line="276"/>
      </w:pPr>
      <w:r>
        <w:rPr>
          <w:sz w:val="22"/>
          <w:szCs w:val="22"/>
        </w:rPr>
        <w:t xml:space="preserve">A quarterly briefing to all workers on real incidents, sanitised, including near-misses caught by worker reports. Recognition of the reporter, with their consent.</w:t>
      </w:r>
    </w:p>
    <w:p>
      <w:pPr>
        <w:pStyle w:val="ListParagraph"/>
        <w:numPr>
          <w:ilvl w:val="0"/>
          <w:numId w:val="2"/>
        </w:numPr>
        <w:spacing w:after="80" w:line="276"/>
      </w:pPr>
      <w:r>
        <w:rPr>
          <w:sz w:val="22"/>
          <w:szCs w:val="22"/>
        </w:rPr>
        <w:t xml:space="preserve">An annual security awareness month in October, coinciding with the policy review cycle.</w:t>
      </w:r>
    </w:p>
    <w:p>
      <w:pPr>
        <w:pStyle w:val="Heading1"/>
        <w:spacing w:after="160" w:before="320"/>
      </w:pPr>
      <w:r>
        <w:t xml:space="preserve">6. Phishing simulation results — Q2 2026 campaign</w:t>
      </w:r>
    </w:p>
    <w:p>
      <w:pPr>
        <w:spacing w:after="140" w:line="276"/>
      </w:pPr>
      <w:r>
        <w:rPr>
          <w:sz w:val="22"/>
          <w:szCs w:val="22"/>
        </w:rPr>
        <w:t xml:space="preserve">The most recent campaign was executed in June 2026 against the full population of 610 workers. The lure was Tier 2: a generic notification purporting to come from the corporate travel booking platform, requesting sign-in to confirm an itinerary change.</w:t>
      </w:r>
    </w:p>
    <w:p>
      <w:pPr>
        <w:spacing w:after="140" w:line="276"/>
      </w:pPr>
      <w:r>
        <w:rPr>
          <w:sz w:val="22"/>
          <w:szCs w:val="22"/>
        </w:rPr>
        <w:t xml:space="preserve">A note on the data. Aggregate figures are taken directly from the simulation platform. The functional breakdown at section 6.2 was reconstructed from platform data by mapping recipients to their function in the HR record; the mapping was performed after the campaign rather than configured before it, and eleven recipients with dual reporting lines were assigned to their primary function. The distribution is therefore sound at the level of magnitude but should not be relied upon to a precision of one or two workers. Campaigns from Q4 2026 onward are configured with function as a campaign attribute so that segmentation is native rather than reconstructed.</w:t>
      </w:r>
    </w:p>
    <w:p>
      <w:pPr>
        <w:pStyle w:val="Heading2"/>
        <w:spacing w:after="120" w:before="240"/>
      </w:pPr>
      <w:r>
        <w:t xml:space="preserve">6.1 Overall results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700"/>
        <w:gridCol w:w="1700"/>
        <w:gridCol w:w="2760"/>
      </w:tblGrid>
      <w:tr>
        <w:trPr>
          <w:tblHeader/>
        </w:trPr>
        <w:tc>
          <w:tcPr>
            <w:tcW w:type="dxa" w:w="3200"/>
            <w:shd w:fill="E7EAF0" w:color="auto" w:val="clear"/>
            <w:tcMar>
              <w:top w:type="dxa" w:w="90"/>
              <w:left w:type="dxa" w:w="130"/>
              <w:bottom w:type="dxa" w:w="90"/>
              <w:right w:type="dxa" w:w="130"/>
            </w:tcMar>
          </w:tcPr>
          <w:p>
            <w:pPr>
              <w:spacing w:after="0" w:line="260"/>
            </w:pPr>
            <w:r>
              <w:rPr>
                <w:b/>
                <w:bCs/>
                <w:sz w:val="20"/>
                <w:szCs w:val="20"/>
              </w:rPr>
              <w:t xml:space="preserve">Measure</w:t>
            </w:r>
          </w:p>
        </w:tc>
        <w:tc>
          <w:tcPr>
            <w:tcW w:type="dxa" w:w="1700"/>
            <w:shd w:fill="E7EAF0" w:color="auto" w:val="clear"/>
            <w:tcMar>
              <w:top w:type="dxa" w:w="90"/>
              <w:left w:type="dxa" w:w="130"/>
              <w:bottom w:type="dxa" w:w="90"/>
              <w:right w:type="dxa" w:w="130"/>
            </w:tcMar>
          </w:tcPr>
          <w:p>
            <w:pPr>
              <w:spacing w:after="0" w:line="260"/>
            </w:pPr>
            <w:r>
              <w:rPr>
                <w:b/>
                <w:bCs/>
                <w:sz w:val="20"/>
                <w:szCs w:val="20"/>
              </w:rPr>
              <w:t xml:space="preserve">Count</w:t>
            </w:r>
          </w:p>
        </w:tc>
        <w:tc>
          <w:tcPr>
            <w:tcW w:type="dxa" w:w="1700"/>
            <w:shd w:fill="E7EAF0" w:color="auto" w:val="clear"/>
            <w:tcMar>
              <w:top w:type="dxa" w:w="90"/>
              <w:left w:type="dxa" w:w="130"/>
              <w:bottom w:type="dxa" w:w="90"/>
              <w:right w:type="dxa" w:w="130"/>
            </w:tcMar>
          </w:tcPr>
          <w:p>
            <w:pPr>
              <w:spacing w:after="0" w:line="260"/>
            </w:pPr>
            <w:r>
              <w:rPr>
                <w:b/>
                <w:bCs/>
                <w:sz w:val="20"/>
                <w:szCs w:val="20"/>
              </w:rPr>
              <w:t xml:space="preserve">Rate</w:t>
            </w:r>
          </w:p>
        </w:tc>
        <w:tc>
          <w:tcPr>
            <w:tcW w:type="dxa" w:w="2760"/>
            <w:shd w:fill="E7EAF0" w:color="auto" w:val="clear"/>
            <w:tcMar>
              <w:top w:type="dxa" w:w="90"/>
              <w:left w:type="dxa" w:w="130"/>
              <w:bottom w:type="dxa" w:w="90"/>
              <w:right w:type="dxa" w:w="130"/>
            </w:tcMar>
          </w:tcPr>
          <w:p>
            <w:pPr>
              <w:spacing w:after="0" w:line="260"/>
            </w:pPr>
            <w:r>
              <w:rPr>
                <w:b/>
                <w:bCs/>
                <w:sz w:val="20"/>
                <w:szCs w:val="20"/>
              </w:rPr>
              <w:t xml:space="preserve">Assessment</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Recipients</w:t>
            </w:r>
          </w:p>
        </w:tc>
        <w:tc>
          <w:tcPr>
            <w:tcW w:type="dxa" w:w="1700"/>
            <w:tcMar>
              <w:top w:type="dxa" w:w="90"/>
              <w:left w:type="dxa" w:w="130"/>
              <w:bottom w:type="dxa" w:w="90"/>
              <w:right w:type="dxa" w:w="130"/>
            </w:tcMar>
          </w:tcPr>
          <w:p>
            <w:pPr>
              <w:spacing w:after="0" w:line="260"/>
            </w:pPr>
            <w:r>
              <w:rPr>
                <w:b w:val="false"/>
                <w:bCs w:val="false"/>
                <w:sz w:val="20"/>
                <w:szCs w:val="20"/>
              </w:rPr>
              <w:t xml:space="preserve">610</w:t>
            </w:r>
          </w:p>
        </w:tc>
        <w:tc>
          <w:tcPr>
            <w:tcW w:type="dxa" w:w="1700"/>
            <w:tcMar>
              <w:top w:type="dxa" w:w="90"/>
              <w:left w:type="dxa" w:w="130"/>
              <w:bottom w:type="dxa" w:w="90"/>
              <w:right w:type="dxa" w:w="130"/>
            </w:tcMar>
          </w:tcPr>
          <w:p>
            <w:pPr>
              <w:spacing w:after="0" w:line="260"/>
            </w:pPr>
            <w:r>
              <w:rPr>
                <w:b w:val="false"/>
                <w:bCs w:val="false"/>
                <w:sz w:val="20"/>
                <w:szCs w:val="20"/>
              </w:rPr>
              <w:t xml:space="preserve">—</w:t>
            </w:r>
          </w:p>
        </w:tc>
        <w:tc>
          <w:tcPr>
            <w:tcW w:type="dxa" w:w="2760"/>
            <w:tcMar>
              <w:top w:type="dxa" w:w="90"/>
              <w:left w:type="dxa" w:w="130"/>
              <w:bottom w:type="dxa" w:w="90"/>
              <w:right w:type="dxa" w:w="130"/>
            </w:tcMar>
          </w:tcPr>
          <w:p>
            <w:pPr>
              <w:spacing w:after="0" w:line="260"/>
            </w:pPr>
            <w:r>
              <w:rPr>
                <w:b w:val="false"/>
                <w:bCs w:val="false"/>
                <w:sz w:val="20"/>
                <w:szCs w:val="20"/>
              </w:rPr>
              <w:t xml:space="preserve">Full population</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Reported before clicking</w:t>
            </w:r>
          </w:p>
        </w:tc>
        <w:tc>
          <w:tcPr>
            <w:tcW w:type="dxa" w:w="1700"/>
            <w:tcMar>
              <w:top w:type="dxa" w:w="90"/>
              <w:left w:type="dxa" w:w="130"/>
              <w:bottom w:type="dxa" w:w="90"/>
              <w:right w:type="dxa" w:w="130"/>
            </w:tcMar>
          </w:tcPr>
          <w:p>
            <w:pPr>
              <w:spacing w:after="0" w:line="260"/>
            </w:pPr>
            <w:r>
              <w:rPr>
                <w:b w:val="false"/>
                <w:bCs w:val="false"/>
                <w:sz w:val="20"/>
                <w:szCs w:val="20"/>
              </w:rPr>
              <w:t xml:space="preserve">189</w:t>
            </w:r>
          </w:p>
        </w:tc>
        <w:tc>
          <w:tcPr>
            <w:tcW w:type="dxa" w:w="1700"/>
            <w:tcMar>
              <w:top w:type="dxa" w:w="90"/>
              <w:left w:type="dxa" w:w="130"/>
              <w:bottom w:type="dxa" w:w="90"/>
              <w:right w:type="dxa" w:w="130"/>
            </w:tcMar>
          </w:tcPr>
          <w:p>
            <w:pPr>
              <w:spacing w:after="0" w:line="260"/>
            </w:pPr>
            <w:r>
              <w:rPr>
                <w:b w:val="false"/>
                <w:bCs w:val="false"/>
                <w:sz w:val="20"/>
                <w:szCs w:val="20"/>
              </w:rPr>
              <w:t xml:space="preserve">31.0%</w:t>
            </w:r>
          </w:p>
        </w:tc>
        <w:tc>
          <w:tcPr>
            <w:tcW w:type="dxa" w:w="2760"/>
            <w:tcMar>
              <w:top w:type="dxa" w:w="90"/>
              <w:left w:type="dxa" w:w="130"/>
              <w:bottom w:type="dxa" w:w="90"/>
              <w:right w:type="dxa" w:w="130"/>
            </w:tcMar>
          </w:tcPr>
          <w:p>
            <w:pPr>
              <w:spacing w:after="0" w:line="260"/>
            </w:pPr>
            <w:r>
              <w:rPr>
                <w:b w:val="false"/>
                <w:bCs w:val="false"/>
                <w:sz w:val="20"/>
                <w:szCs w:val="20"/>
              </w:rPr>
              <w:t xml:space="preserve">The metric that matters most, and the weakest relative to peer benchmark</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No recorded interaction</w:t>
            </w:r>
          </w:p>
        </w:tc>
        <w:tc>
          <w:tcPr>
            <w:tcW w:type="dxa" w:w="1700"/>
            <w:tcMar>
              <w:top w:type="dxa" w:w="90"/>
              <w:left w:type="dxa" w:w="130"/>
              <w:bottom w:type="dxa" w:w="90"/>
              <w:right w:type="dxa" w:w="130"/>
            </w:tcMar>
          </w:tcPr>
          <w:p>
            <w:pPr>
              <w:spacing w:after="0" w:line="260"/>
            </w:pPr>
            <w:r>
              <w:rPr>
                <w:b w:val="false"/>
                <w:bCs w:val="false"/>
                <w:sz w:val="20"/>
                <w:szCs w:val="20"/>
              </w:rPr>
              <w:t xml:space="preserve">334</w:t>
            </w:r>
          </w:p>
        </w:tc>
        <w:tc>
          <w:tcPr>
            <w:tcW w:type="dxa" w:w="1700"/>
            <w:tcMar>
              <w:top w:type="dxa" w:w="90"/>
              <w:left w:type="dxa" w:w="130"/>
              <w:bottom w:type="dxa" w:w="90"/>
              <w:right w:type="dxa" w:w="130"/>
            </w:tcMar>
          </w:tcPr>
          <w:p>
            <w:pPr>
              <w:spacing w:after="0" w:line="260"/>
            </w:pPr>
            <w:r>
              <w:rPr>
                <w:b w:val="false"/>
                <w:bCs w:val="false"/>
                <w:sz w:val="20"/>
                <w:szCs w:val="20"/>
              </w:rPr>
              <w:t xml:space="preserve">54.8%</w:t>
            </w:r>
          </w:p>
        </w:tc>
        <w:tc>
          <w:tcPr>
            <w:tcW w:type="dxa" w:w="2760"/>
            <w:tcMar>
              <w:top w:type="dxa" w:w="90"/>
              <w:left w:type="dxa" w:w="130"/>
              <w:bottom w:type="dxa" w:w="90"/>
              <w:right w:type="dxa" w:w="130"/>
            </w:tcMar>
          </w:tcPr>
          <w:p>
            <w:pPr>
              <w:spacing w:after="0" w:line="260"/>
            </w:pPr>
            <w:r>
              <w:rPr>
                <w:b w:val="false"/>
                <w:bCs w:val="false"/>
                <w:sz w:val="20"/>
                <w:szCs w:val="20"/>
              </w:rPr>
              <w:t xml:space="preserve">Neither reported nor clicked — a neutral, not a positive, outcome</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Clicked the link</w:t>
            </w:r>
          </w:p>
        </w:tc>
        <w:tc>
          <w:tcPr>
            <w:tcW w:type="dxa" w:w="1700"/>
            <w:tcMar>
              <w:top w:type="dxa" w:w="90"/>
              <w:left w:type="dxa" w:w="130"/>
              <w:bottom w:type="dxa" w:w="90"/>
              <w:right w:type="dxa" w:w="130"/>
            </w:tcMar>
          </w:tcPr>
          <w:p>
            <w:pPr>
              <w:spacing w:after="0" w:line="260"/>
            </w:pPr>
            <w:r>
              <w:rPr>
                <w:b w:val="false"/>
                <w:bCs w:val="false"/>
                <w:sz w:val="20"/>
                <w:szCs w:val="20"/>
              </w:rPr>
              <w:t xml:space="preserve">87</w:t>
            </w:r>
          </w:p>
        </w:tc>
        <w:tc>
          <w:tcPr>
            <w:tcW w:type="dxa" w:w="1700"/>
            <w:tcMar>
              <w:top w:type="dxa" w:w="90"/>
              <w:left w:type="dxa" w:w="130"/>
              <w:bottom w:type="dxa" w:w="90"/>
              <w:right w:type="dxa" w:w="130"/>
            </w:tcMar>
          </w:tcPr>
          <w:p>
            <w:pPr>
              <w:spacing w:after="0" w:line="260"/>
            </w:pPr>
            <w:r>
              <w:rPr>
                <w:b w:val="false"/>
                <w:bCs w:val="false"/>
                <w:sz w:val="20"/>
                <w:szCs w:val="20"/>
              </w:rPr>
              <w:t xml:space="preserve">14.2%</w:t>
            </w:r>
          </w:p>
        </w:tc>
        <w:tc>
          <w:tcPr>
            <w:tcW w:type="dxa" w:w="2760"/>
            <w:tcMar>
              <w:top w:type="dxa" w:w="90"/>
              <w:left w:type="dxa" w:w="130"/>
              <w:bottom w:type="dxa" w:w="90"/>
              <w:right w:type="dxa" w:w="130"/>
            </w:tcMar>
          </w:tcPr>
          <w:p>
            <w:pPr>
              <w:spacing w:after="0" w:line="260"/>
            </w:pPr>
            <w:r>
              <w:rPr>
                <w:b w:val="false"/>
                <w:bCs w:val="false"/>
                <w:sz w:val="20"/>
                <w:szCs w:val="20"/>
              </w:rPr>
              <w:t xml:space="preserve">Approximately at financial services sector average</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Submitted credentials</w:t>
            </w:r>
          </w:p>
        </w:tc>
        <w:tc>
          <w:tcPr>
            <w:tcW w:type="dxa" w:w="1700"/>
            <w:tcMar>
              <w:top w:type="dxa" w:w="90"/>
              <w:left w:type="dxa" w:w="130"/>
              <w:bottom w:type="dxa" w:w="90"/>
              <w:right w:type="dxa" w:w="130"/>
            </w:tcMar>
          </w:tcPr>
          <w:p>
            <w:pPr>
              <w:spacing w:after="0" w:line="260"/>
            </w:pPr>
            <w:r>
              <w:rPr>
                <w:b w:val="false"/>
                <w:bCs w:val="false"/>
                <w:sz w:val="20"/>
                <w:szCs w:val="20"/>
              </w:rPr>
              <w:t xml:space="preserve">28</w:t>
            </w:r>
          </w:p>
        </w:tc>
        <w:tc>
          <w:tcPr>
            <w:tcW w:type="dxa" w:w="1700"/>
            <w:tcMar>
              <w:top w:type="dxa" w:w="90"/>
              <w:left w:type="dxa" w:w="130"/>
              <w:bottom w:type="dxa" w:w="90"/>
              <w:right w:type="dxa" w:w="130"/>
            </w:tcMar>
          </w:tcPr>
          <w:p>
            <w:pPr>
              <w:spacing w:after="0" w:line="260"/>
            </w:pPr>
            <w:r>
              <w:rPr>
                <w:b w:val="false"/>
                <w:bCs w:val="false"/>
                <w:sz w:val="20"/>
                <w:szCs w:val="20"/>
              </w:rPr>
              <w:t xml:space="preserve">4.6%</w:t>
            </w:r>
          </w:p>
        </w:tc>
        <w:tc>
          <w:tcPr>
            <w:tcW w:type="dxa" w:w="2760"/>
            <w:tcMar>
              <w:top w:type="dxa" w:w="90"/>
              <w:left w:type="dxa" w:w="130"/>
              <w:bottom w:type="dxa" w:w="90"/>
              <w:right w:type="dxa" w:w="130"/>
            </w:tcMar>
          </w:tcPr>
          <w:p>
            <w:pPr>
              <w:spacing w:after="0" w:line="260"/>
            </w:pPr>
            <w:r>
              <w:rPr>
                <w:b w:val="false"/>
                <w:bCs w:val="false"/>
                <w:sz w:val="20"/>
                <w:szCs w:val="20"/>
              </w:rPr>
              <w:t xml:space="preserve">32% of those who clicked went on to enter credentials</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Median time to first report</w:t>
            </w:r>
          </w:p>
        </w:tc>
        <w:tc>
          <w:tcPr>
            <w:tcW w:type="dxa" w:w="1700"/>
            <w:tcMar>
              <w:top w:type="dxa" w:w="90"/>
              <w:left w:type="dxa" w:w="130"/>
              <w:bottom w:type="dxa" w:w="90"/>
              <w:right w:type="dxa" w:w="130"/>
            </w:tcMar>
          </w:tcPr>
          <w:p>
            <w:pPr>
              <w:spacing w:after="0" w:line="260"/>
            </w:pPr>
            <w:r>
              <w:rPr>
                <w:b w:val="false"/>
                <w:bCs w:val="false"/>
                <w:sz w:val="20"/>
                <w:szCs w:val="20"/>
              </w:rPr>
              <w:t xml:space="preserve">11 minutes</w:t>
            </w:r>
          </w:p>
        </w:tc>
        <w:tc>
          <w:tcPr>
            <w:tcW w:type="dxa" w:w="1700"/>
            <w:tcMar>
              <w:top w:type="dxa" w:w="90"/>
              <w:left w:type="dxa" w:w="130"/>
              <w:bottom w:type="dxa" w:w="90"/>
              <w:right w:type="dxa" w:w="130"/>
            </w:tcMar>
          </w:tcPr>
          <w:p>
            <w:pPr>
              <w:spacing w:after="0" w:line="260"/>
            </w:pPr>
            <w:r>
              <w:rPr>
                <w:b w:val="false"/>
                <w:bCs w:val="false"/>
                <w:sz w:val="20"/>
                <w:szCs w:val="20"/>
              </w:rPr>
              <w:t xml:space="preserve">—</w:t>
            </w:r>
          </w:p>
        </w:tc>
        <w:tc>
          <w:tcPr>
            <w:tcW w:type="dxa" w:w="2760"/>
            <w:tcMar>
              <w:top w:type="dxa" w:w="90"/>
              <w:left w:type="dxa" w:w="130"/>
              <w:bottom w:type="dxa" w:w="90"/>
              <w:right w:type="dxa" w:w="130"/>
            </w:tcMar>
          </w:tcPr>
          <w:p>
            <w:pPr>
              <w:spacing w:after="0" w:line="260"/>
            </w:pPr>
            <w:r>
              <w:rPr>
                <w:b w:val="false"/>
                <w:bCs w:val="false"/>
                <w:sz w:val="20"/>
                <w:szCs w:val="20"/>
              </w:rPr>
              <w:t xml:space="preserve">Adequate; the constraint is volume, not speed</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Repeat clickers (2+ of last 4 campaigns)</w:t>
            </w:r>
          </w:p>
        </w:tc>
        <w:tc>
          <w:tcPr>
            <w:tcW w:type="dxa" w:w="1700"/>
            <w:tcMar>
              <w:top w:type="dxa" w:w="90"/>
              <w:left w:type="dxa" w:w="130"/>
              <w:bottom w:type="dxa" w:w="90"/>
              <w:right w:type="dxa" w:w="130"/>
            </w:tcMar>
          </w:tcPr>
          <w:p>
            <w:pPr>
              <w:spacing w:after="0" w:line="260"/>
            </w:pPr>
            <w:r>
              <w:rPr>
                <w:b w:val="false"/>
                <w:bCs w:val="false"/>
                <w:sz w:val="20"/>
                <w:szCs w:val="20"/>
              </w:rPr>
              <w:t xml:space="preserve">47</w:t>
            </w:r>
          </w:p>
        </w:tc>
        <w:tc>
          <w:tcPr>
            <w:tcW w:type="dxa" w:w="1700"/>
            <w:tcMar>
              <w:top w:type="dxa" w:w="90"/>
              <w:left w:type="dxa" w:w="130"/>
              <w:bottom w:type="dxa" w:w="90"/>
              <w:right w:type="dxa" w:w="130"/>
            </w:tcMar>
          </w:tcPr>
          <w:p>
            <w:pPr>
              <w:spacing w:after="0" w:line="260"/>
            </w:pPr>
            <w:r>
              <w:rPr>
                <w:b w:val="false"/>
                <w:bCs w:val="false"/>
                <w:sz w:val="20"/>
                <w:szCs w:val="20"/>
              </w:rPr>
              <w:t xml:space="preserve">7.7%</w:t>
            </w:r>
          </w:p>
        </w:tc>
        <w:tc>
          <w:tcPr>
            <w:tcW w:type="dxa" w:w="2760"/>
            <w:tcMar>
              <w:top w:type="dxa" w:w="90"/>
              <w:left w:type="dxa" w:w="130"/>
              <w:bottom w:type="dxa" w:w="90"/>
              <w:right w:type="dxa" w:w="130"/>
            </w:tcMar>
          </w:tcPr>
          <w:p>
            <w:pPr>
              <w:spacing w:after="0" w:line="260"/>
            </w:pPr>
            <w:r>
              <w:rPr>
                <w:b w:val="false"/>
                <w:bCs w:val="false"/>
                <w:sz w:val="20"/>
                <w:szCs w:val="20"/>
              </w:rPr>
              <w:t xml:space="preserve">None has received any intervention</w:t>
            </w:r>
          </w:p>
        </w:tc>
      </w:tr>
    </w:tbl>
    <w:p>
      <w:pPr>
        <w:spacing w:after="140" w:line="276"/>
      </w:pPr>
      <w:r>
        <w:rPr>
          <w:sz w:val="22"/>
          <w:szCs w:val="22"/>
        </w:rPr>
        <w:t xml:space="preserve">Of the 87 workers who clicked, 22 subsequently reported the message. That behaviour is valuable and is treated as a mitigating factor in the intervention matrix.</w:t>
      </w:r>
    </w:p>
    <w:p>
      <w:pPr>
        <w:pStyle w:val="Heading2"/>
        <w:spacing w:after="120" w:before="240"/>
      </w:pPr>
      <w:r>
        <w:t xml:space="preserve">6.2 Results by function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1000"/>
        <w:gridCol w:w="1000"/>
        <w:gridCol w:w="1400"/>
        <w:gridCol w:w="1300"/>
        <w:gridCol w:w="2160"/>
      </w:tblGrid>
      <w:tr>
        <w:trPr>
          <w:tblHeader/>
        </w:trPr>
        <w:tc>
          <w:tcPr>
            <w:tcW w:type="dxa" w:w="2500"/>
            <w:shd w:fill="E7EAF0" w:color="auto" w:val="clear"/>
            <w:tcMar>
              <w:top w:type="dxa" w:w="90"/>
              <w:left w:type="dxa" w:w="130"/>
              <w:bottom w:type="dxa" w:w="90"/>
              <w:right w:type="dxa" w:w="130"/>
            </w:tcMar>
          </w:tcPr>
          <w:p>
            <w:pPr>
              <w:spacing w:after="0" w:line="260"/>
            </w:pPr>
            <w:r>
              <w:rPr>
                <w:b/>
                <w:bCs/>
                <w:sz w:val="20"/>
                <w:szCs w:val="20"/>
              </w:rPr>
              <w:t xml:space="preserve">Function</w:t>
            </w:r>
          </w:p>
        </w:tc>
        <w:tc>
          <w:tcPr>
            <w:tcW w:type="dxa" w:w="1000"/>
            <w:shd w:fill="E7EAF0" w:color="auto" w:val="clear"/>
            <w:tcMar>
              <w:top w:type="dxa" w:w="90"/>
              <w:left w:type="dxa" w:w="130"/>
              <w:bottom w:type="dxa" w:w="90"/>
              <w:right w:type="dxa" w:w="130"/>
            </w:tcMar>
          </w:tcPr>
          <w:p>
            <w:pPr>
              <w:spacing w:after="0" w:line="260"/>
            </w:pPr>
            <w:r>
              <w:rPr>
                <w:b/>
                <w:bCs/>
                <w:sz w:val="20"/>
                <w:szCs w:val="20"/>
              </w:rPr>
              <w:t xml:space="preserve">Staff</w:t>
            </w:r>
          </w:p>
        </w:tc>
        <w:tc>
          <w:tcPr>
            <w:tcW w:type="dxa" w:w="1000"/>
            <w:shd w:fill="E7EAF0" w:color="auto" w:val="clear"/>
            <w:tcMar>
              <w:top w:type="dxa" w:w="90"/>
              <w:left w:type="dxa" w:w="130"/>
              <w:bottom w:type="dxa" w:w="90"/>
              <w:right w:type="dxa" w:w="130"/>
            </w:tcMar>
          </w:tcPr>
          <w:p>
            <w:pPr>
              <w:spacing w:after="0" w:line="260"/>
            </w:pPr>
            <w:r>
              <w:rPr>
                <w:b/>
                <w:bCs/>
                <w:sz w:val="20"/>
                <w:szCs w:val="20"/>
              </w:rPr>
              <w:t xml:space="preserve">Clicked</w:t>
            </w:r>
          </w:p>
        </w:tc>
        <w:tc>
          <w:tcPr>
            <w:tcW w:type="dxa" w:w="1400"/>
            <w:shd w:fill="E7EAF0" w:color="auto" w:val="clear"/>
            <w:tcMar>
              <w:top w:type="dxa" w:w="90"/>
              <w:left w:type="dxa" w:w="130"/>
              <w:bottom w:type="dxa" w:w="90"/>
              <w:right w:type="dxa" w:w="130"/>
            </w:tcMar>
          </w:tcPr>
          <w:p>
            <w:pPr>
              <w:spacing w:after="0" w:line="260"/>
            </w:pPr>
            <w:r>
              <w:rPr>
                <w:b/>
                <w:bCs/>
                <w:sz w:val="20"/>
                <w:szCs w:val="20"/>
              </w:rPr>
              <w:t xml:space="preserve">Click rate</w:t>
            </w:r>
          </w:p>
        </w:tc>
        <w:tc>
          <w:tcPr>
            <w:tcW w:type="dxa" w:w="1300"/>
            <w:shd w:fill="E7EAF0" w:color="auto" w:val="clear"/>
            <w:tcMar>
              <w:top w:type="dxa" w:w="90"/>
              <w:left w:type="dxa" w:w="130"/>
              <w:bottom w:type="dxa" w:w="90"/>
              <w:right w:type="dxa" w:w="130"/>
            </w:tcMar>
          </w:tcPr>
          <w:p>
            <w:pPr>
              <w:spacing w:after="0" w:line="260"/>
            </w:pPr>
            <w:r>
              <w:rPr>
                <w:b/>
                <w:bCs/>
                <w:sz w:val="20"/>
                <w:szCs w:val="20"/>
              </w:rPr>
              <w:t xml:space="preserve">Submitted</w:t>
            </w:r>
          </w:p>
        </w:tc>
        <w:tc>
          <w:tcPr>
            <w:tcW w:type="dxa" w:w="2160"/>
            <w:shd w:fill="E7EAF0" w:color="auto" w:val="clear"/>
            <w:tcMar>
              <w:top w:type="dxa" w:w="90"/>
              <w:left w:type="dxa" w:w="130"/>
              <w:bottom w:type="dxa" w:w="90"/>
              <w:right w:type="dxa" w:w="130"/>
            </w:tcMar>
          </w:tcPr>
          <w:p>
            <w:pPr>
              <w:spacing w:after="0" w:line="260"/>
            </w:pPr>
            <w:r>
              <w:rPr>
                <w:b/>
                <w:bCs/>
                <w:sz w:val="20"/>
                <w:szCs w:val="20"/>
              </w:rPr>
              <w:t xml:space="preserve">Report rate</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Engineering and Platform</w:t>
            </w:r>
          </w:p>
        </w:tc>
        <w:tc>
          <w:tcPr>
            <w:tcW w:type="dxa" w:w="1000"/>
            <w:tcMar>
              <w:top w:type="dxa" w:w="90"/>
              <w:left w:type="dxa" w:w="130"/>
              <w:bottom w:type="dxa" w:w="90"/>
              <w:right w:type="dxa" w:w="130"/>
            </w:tcMar>
          </w:tcPr>
          <w:p>
            <w:pPr>
              <w:spacing w:after="0" w:line="260"/>
            </w:pPr>
            <w:r>
              <w:rPr>
                <w:b w:val="false"/>
                <w:bCs w:val="false"/>
                <w:sz w:val="20"/>
                <w:szCs w:val="20"/>
              </w:rPr>
              <w:t xml:space="preserve">230</w:t>
            </w:r>
          </w:p>
        </w:tc>
        <w:tc>
          <w:tcPr>
            <w:tcW w:type="dxa" w:w="1000"/>
            <w:tcMar>
              <w:top w:type="dxa" w:w="90"/>
              <w:left w:type="dxa" w:w="130"/>
              <w:bottom w:type="dxa" w:w="90"/>
              <w:right w:type="dxa" w:w="130"/>
            </w:tcMar>
          </w:tcPr>
          <w:p>
            <w:pPr>
              <w:spacing w:after="0" w:line="260"/>
            </w:pPr>
            <w:r>
              <w:rPr>
                <w:b w:val="false"/>
                <w:bCs w:val="false"/>
                <w:sz w:val="20"/>
                <w:szCs w:val="20"/>
              </w:rPr>
              <w:t xml:space="preserve">16</w:t>
            </w:r>
          </w:p>
        </w:tc>
        <w:tc>
          <w:tcPr>
            <w:tcW w:type="dxa" w:w="1400"/>
            <w:tcMar>
              <w:top w:type="dxa" w:w="90"/>
              <w:left w:type="dxa" w:w="130"/>
              <w:bottom w:type="dxa" w:w="90"/>
              <w:right w:type="dxa" w:w="130"/>
            </w:tcMar>
          </w:tcPr>
          <w:p>
            <w:pPr>
              <w:spacing w:after="0" w:line="260"/>
            </w:pPr>
            <w:r>
              <w:rPr>
                <w:b w:val="false"/>
                <w:bCs w:val="false"/>
                <w:sz w:val="20"/>
                <w:szCs w:val="20"/>
              </w:rPr>
              <w:t xml:space="preserve">7.0%</w:t>
            </w:r>
          </w:p>
        </w:tc>
        <w:tc>
          <w:tcPr>
            <w:tcW w:type="dxa" w:w="1300"/>
            <w:tcMar>
              <w:top w:type="dxa" w:w="90"/>
              <w:left w:type="dxa" w:w="130"/>
              <w:bottom w:type="dxa" w:w="90"/>
              <w:right w:type="dxa" w:w="130"/>
            </w:tcMar>
          </w:tcPr>
          <w:p>
            <w:pPr>
              <w:spacing w:after="0" w:line="260"/>
            </w:pPr>
            <w:r>
              <w:rPr>
                <w:b w:val="false"/>
                <w:bCs w:val="false"/>
                <w:sz w:val="20"/>
                <w:szCs w:val="20"/>
              </w:rPr>
              <w:t xml:space="preserve">3</w:t>
            </w:r>
          </w:p>
        </w:tc>
        <w:tc>
          <w:tcPr>
            <w:tcW w:type="dxa" w:w="2160"/>
            <w:tcMar>
              <w:top w:type="dxa" w:w="90"/>
              <w:left w:type="dxa" w:w="130"/>
              <w:bottom w:type="dxa" w:w="90"/>
              <w:right w:type="dxa" w:w="130"/>
            </w:tcMar>
          </w:tcPr>
          <w:p>
            <w:pPr>
              <w:spacing w:after="0" w:line="260"/>
            </w:pPr>
            <w:r>
              <w:rPr>
                <w:b w:val="false"/>
                <w:bCs w:val="false"/>
                <w:sz w:val="20"/>
                <w:szCs w:val="20"/>
              </w:rPr>
              <w:t xml:space="preserve">45.2%</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Customer Operations and Support</w:t>
            </w:r>
          </w:p>
        </w:tc>
        <w:tc>
          <w:tcPr>
            <w:tcW w:type="dxa" w:w="1000"/>
            <w:tcMar>
              <w:top w:type="dxa" w:w="90"/>
              <w:left w:type="dxa" w:w="130"/>
              <w:bottom w:type="dxa" w:w="90"/>
              <w:right w:type="dxa" w:w="130"/>
            </w:tcMar>
          </w:tcPr>
          <w:p>
            <w:pPr>
              <w:spacing w:after="0" w:line="260"/>
            </w:pPr>
            <w:r>
              <w:rPr>
                <w:b w:val="false"/>
                <w:bCs w:val="false"/>
                <w:sz w:val="20"/>
                <w:szCs w:val="20"/>
              </w:rPr>
              <w:t xml:space="preserve">118</w:t>
            </w:r>
          </w:p>
        </w:tc>
        <w:tc>
          <w:tcPr>
            <w:tcW w:type="dxa" w:w="1000"/>
            <w:tcMar>
              <w:top w:type="dxa" w:w="90"/>
              <w:left w:type="dxa" w:w="130"/>
              <w:bottom w:type="dxa" w:w="90"/>
              <w:right w:type="dxa" w:w="130"/>
            </w:tcMar>
          </w:tcPr>
          <w:p>
            <w:pPr>
              <w:spacing w:after="0" w:line="260"/>
            </w:pPr>
            <w:r>
              <w:rPr>
                <w:b w:val="false"/>
                <w:bCs w:val="false"/>
                <w:sz w:val="20"/>
                <w:szCs w:val="20"/>
              </w:rPr>
              <w:t xml:space="preserve">18</w:t>
            </w:r>
          </w:p>
        </w:tc>
        <w:tc>
          <w:tcPr>
            <w:tcW w:type="dxa" w:w="1400"/>
            <w:tcMar>
              <w:top w:type="dxa" w:w="90"/>
              <w:left w:type="dxa" w:w="130"/>
              <w:bottom w:type="dxa" w:w="90"/>
              <w:right w:type="dxa" w:w="130"/>
            </w:tcMar>
          </w:tcPr>
          <w:p>
            <w:pPr>
              <w:spacing w:after="0" w:line="260"/>
            </w:pPr>
            <w:r>
              <w:rPr>
                <w:b w:val="false"/>
                <w:bCs w:val="false"/>
                <w:sz w:val="20"/>
                <w:szCs w:val="20"/>
              </w:rPr>
              <w:t xml:space="preserve">15.3%</w:t>
            </w:r>
          </w:p>
        </w:tc>
        <w:tc>
          <w:tcPr>
            <w:tcW w:type="dxa" w:w="1300"/>
            <w:tcMar>
              <w:top w:type="dxa" w:w="90"/>
              <w:left w:type="dxa" w:w="130"/>
              <w:bottom w:type="dxa" w:w="90"/>
              <w:right w:type="dxa" w:w="130"/>
            </w:tcMar>
          </w:tcPr>
          <w:p>
            <w:pPr>
              <w:spacing w:after="0" w:line="260"/>
            </w:pPr>
            <w:r>
              <w:rPr>
                <w:b w:val="false"/>
                <w:bCs w:val="false"/>
                <w:sz w:val="20"/>
                <w:szCs w:val="20"/>
              </w:rPr>
              <w:t xml:space="preserve">6</w:t>
            </w:r>
          </w:p>
        </w:tc>
        <w:tc>
          <w:tcPr>
            <w:tcW w:type="dxa" w:w="2160"/>
            <w:tcMar>
              <w:top w:type="dxa" w:w="90"/>
              <w:left w:type="dxa" w:w="130"/>
              <w:bottom w:type="dxa" w:w="90"/>
              <w:right w:type="dxa" w:w="130"/>
            </w:tcMar>
          </w:tcPr>
          <w:p>
            <w:pPr>
              <w:spacing w:after="0" w:line="260"/>
            </w:pPr>
            <w:r>
              <w:rPr>
                <w:b w:val="false"/>
                <w:bCs w:val="false"/>
                <w:sz w:val="20"/>
                <w:szCs w:val="20"/>
              </w:rPr>
              <w:t xml:space="preserve">28.0%</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Sales and Partnerships</w:t>
            </w:r>
          </w:p>
        </w:tc>
        <w:tc>
          <w:tcPr>
            <w:tcW w:type="dxa" w:w="1000"/>
            <w:tcMar>
              <w:top w:type="dxa" w:w="90"/>
              <w:left w:type="dxa" w:w="130"/>
              <w:bottom w:type="dxa" w:w="90"/>
              <w:right w:type="dxa" w:w="130"/>
            </w:tcMar>
          </w:tcPr>
          <w:p>
            <w:pPr>
              <w:spacing w:after="0" w:line="260"/>
            </w:pPr>
            <w:r>
              <w:rPr>
                <w:b w:val="false"/>
                <w:bCs w:val="false"/>
                <w:sz w:val="20"/>
                <w:szCs w:val="20"/>
              </w:rPr>
              <w:t xml:space="preserve">84</w:t>
            </w:r>
          </w:p>
        </w:tc>
        <w:tc>
          <w:tcPr>
            <w:tcW w:type="dxa" w:w="1000"/>
            <w:tcMar>
              <w:top w:type="dxa" w:w="90"/>
              <w:left w:type="dxa" w:w="130"/>
              <w:bottom w:type="dxa" w:w="90"/>
              <w:right w:type="dxa" w:w="130"/>
            </w:tcMar>
          </w:tcPr>
          <w:p>
            <w:pPr>
              <w:spacing w:after="0" w:line="260"/>
            </w:pPr>
            <w:r>
              <w:rPr>
                <w:b w:val="false"/>
                <w:bCs w:val="false"/>
                <w:sz w:val="20"/>
                <w:szCs w:val="20"/>
              </w:rPr>
              <w:t xml:space="preserve">27</w:t>
            </w:r>
          </w:p>
        </w:tc>
        <w:tc>
          <w:tcPr>
            <w:tcW w:type="dxa" w:w="1400"/>
            <w:tcMar>
              <w:top w:type="dxa" w:w="90"/>
              <w:left w:type="dxa" w:w="130"/>
              <w:bottom w:type="dxa" w:w="90"/>
              <w:right w:type="dxa" w:w="130"/>
            </w:tcMar>
          </w:tcPr>
          <w:p>
            <w:pPr>
              <w:spacing w:after="0" w:line="260"/>
            </w:pPr>
            <w:r>
              <w:rPr>
                <w:b w:val="false"/>
                <w:bCs w:val="false"/>
                <w:sz w:val="20"/>
                <w:szCs w:val="20"/>
              </w:rPr>
              <w:t xml:space="preserve">32.1%</w:t>
            </w:r>
          </w:p>
        </w:tc>
        <w:tc>
          <w:tcPr>
            <w:tcW w:type="dxa" w:w="1300"/>
            <w:tcMar>
              <w:top w:type="dxa" w:w="90"/>
              <w:left w:type="dxa" w:w="130"/>
              <w:bottom w:type="dxa" w:w="90"/>
              <w:right w:type="dxa" w:w="130"/>
            </w:tcMar>
          </w:tcPr>
          <w:p>
            <w:pPr>
              <w:spacing w:after="0" w:line="260"/>
            </w:pPr>
            <w:r>
              <w:rPr>
                <w:b w:val="false"/>
                <w:bCs w:val="false"/>
                <w:sz w:val="20"/>
                <w:szCs w:val="20"/>
              </w:rPr>
              <w:t xml:space="preserve">11</w:t>
            </w:r>
          </w:p>
        </w:tc>
        <w:tc>
          <w:tcPr>
            <w:tcW w:type="dxa" w:w="2160"/>
            <w:tcMar>
              <w:top w:type="dxa" w:w="90"/>
              <w:left w:type="dxa" w:w="130"/>
              <w:bottom w:type="dxa" w:w="90"/>
              <w:right w:type="dxa" w:w="130"/>
            </w:tcMar>
          </w:tcPr>
          <w:p>
            <w:pPr>
              <w:spacing w:after="0" w:line="260"/>
            </w:pPr>
            <w:r>
              <w:rPr>
                <w:b w:val="false"/>
                <w:bCs w:val="false"/>
                <w:sz w:val="20"/>
                <w:szCs w:val="20"/>
              </w:rPr>
              <w:t xml:space="preserve">13.1%</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Risk, Credit and Underwriting</w:t>
            </w:r>
          </w:p>
        </w:tc>
        <w:tc>
          <w:tcPr>
            <w:tcW w:type="dxa" w:w="1000"/>
            <w:tcMar>
              <w:top w:type="dxa" w:w="90"/>
              <w:left w:type="dxa" w:w="130"/>
              <w:bottom w:type="dxa" w:w="90"/>
              <w:right w:type="dxa" w:w="130"/>
            </w:tcMar>
          </w:tcPr>
          <w:p>
            <w:pPr>
              <w:spacing w:after="0" w:line="260"/>
            </w:pPr>
            <w:r>
              <w:rPr>
                <w:b w:val="false"/>
                <w:bCs w:val="false"/>
                <w:sz w:val="20"/>
                <w:szCs w:val="20"/>
              </w:rPr>
              <w:t xml:space="preserve">62</w:t>
            </w:r>
          </w:p>
        </w:tc>
        <w:tc>
          <w:tcPr>
            <w:tcW w:type="dxa" w:w="1000"/>
            <w:tcMar>
              <w:top w:type="dxa" w:w="90"/>
              <w:left w:type="dxa" w:w="130"/>
              <w:bottom w:type="dxa" w:w="90"/>
              <w:right w:type="dxa" w:w="130"/>
            </w:tcMar>
          </w:tcPr>
          <w:p>
            <w:pPr>
              <w:spacing w:after="0" w:line="260"/>
            </w:pPr>
            <w:r>
              <w:rPr>
                <w:b w:val="false"/>
                <w:bCs w:val="false"/>
                <w:sz w:val="20"/>
                <w:szCs w:val="20"/>
              </w:rPr>
              <w:t xml:space="preserve">8</w:t>
            </w:r>
          </w:p>
        </w:tc>
        <w:tc>
          <w:tcPr>
            <w:tcW w:type="dxa" w:w="1400"/>
            <w:tcMar>
              <w:top w:type="dxa" w:w="90"/>
              <w:left w:type="dxa" w:w="130"/>
              <w:bottom w:type="dxa" w:w="90"/>
              <w:right w:type="dxa" w:w="130"/>
            </w:tcMar>
          </w:tcPr>
          <w:p>
            <w:pPr>
              <w:spacing w:after="0" w:line="260"/>
            </w:pPr>
            <w:r>
              <w:rPr>
                <w:b w:val="false"/>
                <w:bCs w:val="false"/>
                <w:sz w:val="20"/>
                <w:szCs w:val="20"/>
              </w:rPr>
              <w:t xml:space="preserve">12.9%</w:t>
            </w:r>
          </w:p>
        </w:tc>
        <w:tc>
          <w:tcPr>
            <w:tcW w:type="dxa" w:w="1300"/>
            <w:tcMar>
              <w:top w:type="dxa" w:w="90"/>
              <w:left w:type="dxa" w:w="130"/>
              <w:bottom w:type="dxa" w:w="90"/>
              <w:right w:type="dxa" w:w="130"/>
            </w:tcMar>
          </w:tcPr>
          <w:p>
            <w:pPr>
              <w:spacing w:after="0" w:line="260"/>
            </w:pPr>
            <w:r>
              <w:rPr>
                <w:b w:val="false"/>
                <w:bCs w:val="false"/>
                <w:sz w:val="20"/>
                <w:szCs w:val="20"/>
              </w:rPr>
              <w:t xml:space="preserve">2</w:t>
            </w:r>
          </w:p>
        </w:tc>
        <w:tc>
          <w:tcPr>
            <w:tcW w:type="dxa" w:w="2160"/>
            <w:tcMar>
              <w:top w:type="dxa" w:w="90"/>
              <w:left w:type="dxa" w:w="130"/>
              <w:bottom w:type="dxa" w:w="90"/>
              <w:right w:type="dxa" w:w="130"/>
            </w:tcMar>
          </w:tcPr>
          <w:p>
            <w:pPr>
              <w:spacing w:after="0" w:line="260"/>
            </w:pPr>
            <w:r>
              <w:rPr>
                <w:b w:val="false"/>
                <w:bCs w:val="false"/>
                <w:sz w:val="20"/>
                <w:szCs w:val="20"/>
              </w:rPr>
              <w:t xml:space="preserve">27.4%</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Finance and Legal</w:t>
            </w:r>
          </w:p>
        </w:tc>
        <w:tc>
          <w:tcPr>
            <w:tcW w:type="dxa" w:w="1000"/>
            <w:tcMar>
              <w:top w:type="dxa" w:w="90"/>
              <w:left w:type="dxa" w:w="130"/>
              <w:bottom w:type="dxa" w:w="90"/>
              <w:right w:type="dxa" w:w="130"/>
            </w:tcMar>
          </w:tcPr>
          <w:p>
            <w:pPr>
              <w:spacing w:after="0" w:line="260"/>
            </w:pPr>
            <w:r>
              <w:rPr>
                <w:b w:val="false"/>
                <w:bCs w:val="false"/>
                <w:sz w:val="20"/>
                <w:szCs w:val="20"/>
              </w:rPr>
              <w:t xml:space="preserve">44</w:t>
            </w:r>
          </w:p>
        </w:tc>
        <w:tc>
          <w:tcPr>
            <w:tcW w:type="dxa" w:w="1000"/>
            <w:tcMar>
              <w:top w:type="dxa" w:w="90"/>
              <w:left w:type="dxa" w:w="130"/>
              <w:bottom w:type="dxa" w:w="90"/>
              <w:right w:type="dxa" w:w="130"/>
            </w:tcMar>
          </w:tcPr>
          <w:p>
            <w:pPr>
              <w:spacing w:after="0" w:line="260"/>
            </w:pPr>
            <w:r>
              <w:rPr>
                <w:b w:val="false"/>
                <w:bCs w:val="false"/>
                <w:sz w:val="20"/>
                <w:szCs w:val="20"/>
              </w:rPr>
              <w:t xml:space="preserve">9</w:t>
            </w:r>
          </w:p>
        </w:tc>
        <w:tc>
          <w:tcPr>
            <w:tcW w:type="dxa" w:w="1400"/>
            <w:tcMar>
              <w:top w:type="dxa" w:w="90"/>
              <w:left w:type="dxa" w:w="130"/>
              <w:bottom w:type="dxa" w:w="90"/>
              <w:right w:type="dxa" w:w="130"/>
            </w:tcMar>
          </w:tcPr>
          <w:p>
            <w:pPr>
              <w:spacing w:after="0" w:line="260"/>
            </w:pPr>
            <w:r>
              <w:rPr>
                <w:b w:val="false"/>
                <w:bCs w:val="false"/>
                <w:sz w:val="20"/>
                <w:szCs w:val="20"/>
              </w:rPr>
              <w:t xml:space="preserve">20.5%</w:t>
            </w:r>
          </w:p>
        </w:tc>
        <w:tc>
          <w:tcPr>
            <w:tcW w:type="dxa" w:w="1300"/>
            <w:tcMar>
              <w:top w:type="dxa" w:w="90"/>
              <w:left w:type="dxa" w:w="130"/>
              <w:bottom w:type="dxa" w:w="90"/>
              <w:right w:type="dxa" w:w="130"/>
            </w:tcMar>
          </w:tcPr>
          <w:p>
            <w:pPr>
              <w:spacing w:after="0" w:line="260"/>
            </w:pPr>
            <w:r>
              <w:rPr>
                <w:b w:val="false"/>
                <w:bCs w:val="false"/>
                <w:sz w:val="20"/>
                <w:szCs w:val="20"/>
              </w:rPr>
              <w:t xml:space="preserve">3</w:t>
            </w:r>
          </w:p>
        </w:tc>
        <w:tc>
          <w:tcPr>
            <w:tcW w:type="dxa" w:w="2160"/>
            <w:tcMar>
              <w:top w:type="dxa" w:w="90"/>
              <w:left w:type="dxa" w:w="130"/>
              <w:bottom w:type="dxa" w:w="90"/>
              <w:right w:type="dxa" w:w="130"/>
            </w:tcMar>
          </w:tcPr>
          <w:p>
            <w:pPr>
              <w:spacing w:after="0" w:line="260"/>
            </w:pPr>
            <w:r>
              <w:rPr>
                <w:b w:val="false"/>
                <w:bCs w:val="false"/>
                <w:sz w:val="20"/>
                <w:szCs w:val="20"/>
              </w:rPr>
              <w:t xml:space="preserve">25.0%</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Product and Design</w:t>
            </w:r>
          </w:p>
        </w:tc>
        <w:tc>
          <w:tcPr>
            <w:tcW w:type="dxa" w:w="1000"/>
            <w:tcMar>
              <w:top w:type="dxa" w:w="90"/>
              <w:left w:type="dxa" w:w="130"/>
              <w:bottom w:type="dxa" w:w="90"/>
              <w:right w:type="dxa" w:w="130"/>
            </w:tcMar>
          </w:tcPr>
          <w:p>
            <w:pPr>
              <w:spacing w:after="0" w:line="260"/>
            </w:pPr>
            <w:r>
              <w:rPr>
                <w:b w:val="false"/>
                <w:bCs w:val="false"/>
                <w:sz w:val="20"/>
                <w:szCs w:val="20"/>
              </w:rPr>
              <w:t xml:space="preserve">38</w:t>
            </w:r>
          </w:p>
        </w:tc>
        <w:tc>
          <w:tcPr>
            <w:tcW w:type="dxa" w:w="1000"/>
            <w:tcMar>
              <w:top w:type="dxa" w:w="90"/>
              <w:left w:type="dxa" w:w="130"/>
              <w:bottom w:type="dxa" w:w="90"/>
              <w:right w:type="dxa" w:w="130"/>
            </w:tcMar>
          </w:tcPr>
          <w:p>
            <w:pPr>
              <w:spacing w:after="0" w:line="260"/>
            </w:pPr>
            <w:r>
              <w:rPr>
                <w:b w:val="false"/>
                <w:bCs w:val="false"/>
                <w:sz w:val="20"/>
                <w:szCs w:val="20"/>
              </w:rPr>
              <w:t xml:space="preserve">5</w:t>
            </w:r>
          </w:p>
        </w:tc>
        <w:tc>
          <w:tcPr>
            <w:tcW w:type="dxa" w:w="1400"/>
            <w:tcMar>
              <w:top w:type="dxa" w:w="90"/>
              <w:left w:type="dxa" w:w="130"/>
              <w:bottom w:type="dxa" w:w="90"/>
              <w:right w:type="dxa" w:w="130"/>
            </w:tcMar>
          </w:tcPr>
          <w:p>
            <w:pPr>
              <w:spacing w:after="0" w:line="260"/>
            </w:pPr>
            <w:r>
              <w:rPr>
                <w:b w:val="false"/>
                <w:bCs w:val="false"/>
                <w:sz w:val="20"/>
                <w:szCs w:val="20"/>
              </w:rPr>
              <w:t xml:space="preserve">13.2%</w:t>
            </w:r>
          </w:p>
        </w:tc>
        <w:tc>
          <w:tcPr>
            <w:tcW w:type="dxa" w:w="1300"/>
            <w:tcMar>
              <w:top w:type="dxa" w:w="90"/>
              <w:left w:type="dxa" w:w="130"/>
              <w:bottom w:type="dxa" w:w="90"/>
              <w:right w:type="dxa" w:w="130"/>
            </w:tcMar>
          </w:tcPr>
          <w:p>
            <w:pPr>
              <w:spacing w:after="0" w:line="260"/>
            </w:pPr>
            <w:r>
              <w:rPr>
                <w:b w:val="false"/>
                <w:bCs w:val="false"/>
                <w:sz w:val="20"/>
                <w:szCs w:val="20"/>
              </w:rPr>
              <w:t xml:space="preserve">1</w:t>
            </w:r>
          </w:p>
        </w:tc>
        <w:tc>
          <w:tcPr>
            <w:tcW w:type="dxa" w:w="2160"/>
            <w:tcMar>
              <w:top w:type="dxa" w:w="90"/>
              <w:left w:type="dxa" w:w="130"/>
              <w:bottom w:type="dxa" w:w="90"/>
              <w:right w:type="dxa" w:w="130"/>
            </w:tcMar>
          </w:tcPr>
          <w:p>
            <w:pPr>
              <w:spacing w:after="0" w:line="260"/>
            </w:pPr>
            <w:r>
              <w:rPr>
                <w:b w:val="false"/>
                <w:bCs w:val="false"/>
                <w:sz w:val="20"/>
                <w:szCs w:val="20"/>
              </w:rPr>
              <w:t xml:space="preserve">23.7%</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People, Marketing and Corporate</w:t>
            </w:r>
          </w:p>
        </w:tc>
        <w:tc>
          <w:tcPr>
            <w:tcW w:type="dxa" w:w="1000"/>
            <w:tcMar>
              <w:top w:type="dxa" w:w="90"/>
              <w:left w:type="dxa" w:w="130"/>
              <w:bottom w:type="dxa" w:w="90"/>
              <w:right w:type="dxa" w:w="130"/>
            </w:tcMar>
          </w:tcPr>
          <w:p>
            <w:pPr>
              <w:spacing w:after="0" w:line="260"/>
            </w:pPr>
            <w:r>
              <w:rPr>
                <w:b w:val="false"/>
                <w:bCs w:val="false"/>
                <w:sz w:val="20"/>
                <w:szCs w:val="20"/>
              </w:rPr>
              <w:t xml:space="preserve">34</w:t>
            </w:r>
          </w:p>
        </w:tc>
        <w:tc>
          <w:tcPr>
            <w:tcW w:type="dxa" w:w="1000"/>
            <w:tcMar>
              <w:top w:type="dxa" w:w="90"/>
              <w:left w:type="dxa" w:w="130"/>
              <w:bottom w:type="dxa" w:w="90"/>
              <w:right w:type="dxa" w:w="130"/>
            </w:tcMar>
          </w:tcPr>
          <w:p>
            <w:pPr>
              <w:spacing w:after="0" w:line="260"/>
            </w:pPr>
            <w:r>
              <w:rPr>
                <w:b w:val="false"/>
                <w:bCs w:val="false"/>
                <w:sz w:val="20"/>
                <w:szCs w:val="20"/>
              </w:rPr>
              <w:t xml:space="preserve">4</w:t>
            </w:r>
          </w:p>
        </w:tc>
        <w:tc>
          <w:tcPr>
            <w:tcW w:type="dxa" w:w="1400"/>
            <w:tcMar>
              <w:top w:type="dxa" w:w="90"/>
              <w:left w:type="dxa" w:w="130"/>
              <w:bottom w:type="dxa" w:w="90"/>
              <w:right w:type="dxa" w:w="130"/>
            </w:tcMar>
          </w:tcPr>
          <w:p>
            <w:pPr>
              <w:spacing w:after="0" w:line="260"/>
            </w:pPr>
            <w:r>
              <w:rPr>
                <w:b w:val="false"/>
                <w:bCs w:val="false"/>
                <w:sz w:val="20"/>
                <w:szCs w:val="20"/>
              </w:rPr>
              <w:t xml:space="preserve">11.8%</w:t>
            </w:r>
          </w:p>
        </w:tc>
        <w:tc>
          <w:tcPr>
            <w:tcW w:type="dxa" w:w="1300"/>
            <w:tcMar>
              <w:top w:type="dxa" w:w="90"/>
              <w:left w:type="dxa" w:w="130"/>
              <w:bottom w:type="dxa" w:w="90"/>
              <w:right w:type="dxa" w:w="130"/>
            </w:tcMar>
          </w:tcPr>
          <w:p>
            <w:pPr>
              <w:spacing w:after="0" w:line="260"/>
            </w:pPr>
            <w:r>
              <w:rPr>
                <w:b w:val="false"/>
                <w:bCs w:val="false"/>
                <w:sz w:val="20"/>
                <w:szCs w:val="20"/>
              </w:rPr>
              <w:t xml:space="preserve">2</w:t>
            </w:r>
          </w:p>
        </w:tc>
        <w:tc>
          <w:tcPr>
            <w:tcW w:type="dxa" w:w="2160"/>
            <w:tcMar>
              <w:top w:type="dxa" w:w="90"/>
              <w:left w:type="dxa" w:w="130"/>
              <w:bottom w:type="dxa" w:w="90"/>
              <w:right w:type="dxa" w:w="130"/>
            </w:tcMar>
          </w:tcPr>
          <w:p>
            <w:pPr>
              <w:spacing w:after="0" w:line="260"/>
            </w:pPr>
            <w:r>
              <w:rPr>
                <w:b w:val="false"/>
                <w:bCs w:val="false"/>
                <w:sz w:val="20"/>
                <w:szCs w:val="20"/>
              </w:rPr>
              <w:t xml:space="preserve">11.8%</w:t>
            </w:r>
          </w:p>
        </w:tc>
      </w:tr>
      <w:tr>
        <w:trPr>
          <w:tblHeader w:val="false"/>
        </w:trPr>
        <w:tc>
          <w:tcPr>
            <w:tcW w:type="dxa" w:w="2500"/>
            <w:tcMar>
              <w:top w:type="dxa" w:w="90"/>
              <w:left w:type="dxa" w:w="130"/>
              <w:bottom w:type="dxa" w:w="90"/>
              <w:right w:type="dxa" w:w="130"/>
            </w:tcMar>
          </w:tcPr>
          <w:p>
            <w:pPr>
              <w:spacing w:after="0" w:line="260"/>
            </w:pPr>
            <w:r>
              <w:rPr>
                <w:b w:val="false"/>
                <w:bCs w:val="false"/>
                <w:sz w:val="20"/>
                <w:szCs w:val="20"/>
              </w:rPr>
              <w:t xml:space="preserve">Total</w:t>
            </w:r>
          </w:p>
        </w:tc>
        <w:tc>
          <w:tcPr>
            <w:tcW w:type="dxa" w:w="1000"/>
            <w:tcMar>
              <w:top w:type="dxa" w:w="90"/>
              <w:left w:type="dxa" w:w="130"/>
              <w:bottom w:type="dxa" w:w="90"/>
              <w:right w:type="dxa" w:w="130"/>
            </w:tcMar>
          </w:tcPr>
          <w:p>
            <w:pPr>
              <w:spacing w:after="0" w:line="260"/>
            </w:pPr>
            <w:r>
              <w:rPr>
                <w:b w:val="false"/>
                <w:bCs w:val="false"/>
                <w:sz w:val="20"/>
                <w:szCs w:val="20"/>
              </w:rPr>
              <w:t xml:space="preserve">610</w:t>
            </w:r>
          </w:p>
        </w:tc>
        <w:tc>
          <w:tcPr>
            <w:tcW w:type="dxa" w:w="1000"/>
            <w:tcMar>
              <w:top w:type="dxa" w:w="90"/>
              <w:left w:type="dxa" w:w="130"/>
              <w:bottom w:type="dxa" w:w="90"/>
              <w:right w:type="dxa" w:w="130"/>
            </w:tcMar>
          </w:tcPr>
          <w:p>
            <w:pPr>
              <w:spacing w:after="0" w:line="260"/>
            </w:pPr>
            <w:r>
              <w:rPr>
                <w:b w:val="false"/>
                <w:bCs w:val="false"/>
                <w:sz w:val="20"/>
                <w:szCs w:val="20"/>
              </w:rPr>
              <w:t xml:space="preserve">87</w:t>
            </w:r>
          </w:p>
        </w:tc>
        <w:tc>
          <w:tcPr>
            <w:tcW w:type="dxa" w:w="1400"/>
            <w:tcMar>
              <w:top w:type="dxa" w:w="90"/>
              <w:left w:type="dxa" w:w="130"/>
              <w:bottom w:type="dxa" w:w="90"/>
              <w:right w:type="dxa" w:w="130"/>
            </w:tcMar>
          </w:tcPr>
          <w:p>
            <w:pPr>
              <w:spacing w:after="0" w:line="260"/>
            </w:pPr>
            <w:r>
              <w:rPr>
                <w:b w:val="false"/>
                <w:bCs w:val="false"/>
                <w:sz w:val="20"/>
                <w:szCs w:val="20"/>
              </w:rPr>
              <w:t xml:space="preserve">14.2%</w:t>
            </w:r>
          </w:p>
        </w:tc>
        <w:tc>
          <w:tcPr>
            <w:tcW w:type="dxa" w:w="1300"/>
            <w:tcMar>
              <w:top w:type="dxa" w:w="90"/>
              <w:left w:type="dxa" w:w="130"/>
              <w:bottom w:type="dxa" w:w="90"/>
              <w:right w:type="dxa" w:w="130"/>
            </w:tcMar>
          </w:tcPr>
          <w:p>
            <w:pPr>
              <w:spacing w:after="0" w:line="260"/>
            </w:pPr>
            <w:r>
              <w:rPr>
                <w:b w:val="false"/>
                <w:bCs w:val="false"/>
                <w:sz w:val="20"/>
                <w:szCs w:val="20"/>
              </w:rPr>
              <w:t xml:space="preserve">28</w:t>
            </w:r>
          </w:p>
        </w:tc>
        <w:tc>
          <w:tcPr>
            <w:tcW w:type="dxa" w:w="2160"/>
            <w:tcMar>
              <w:top w:type="dxa" w:w="90"/>
              <w:left w:type="dxa" w:w="130"/>
              <w:bottom w:type="dxa" w:w="90"/>
              <w:right w:type="dxa" w:w="130"/>
            </w:tcMar>
          </w:tcPr>
          <w:p>
            <w:pPr>
              <w:spacing w:after="0" w:line="260"/>
            </w:pPr>
            <w:r>
              <w:rPr>
                <w:b w:val="false"/>
                <w:bCs w:val="false"/>
                <w:sz w:val="20"/>
                <w:szCs w:val="20"/>
              </w:rPr>
              <w:t xml:space="preserve">31.0%</w:t>
            </w:r>
          </w:p>
        </w:tc>
      </w:tr>
    </w:tbl>
    <w:p>
      <w:pPr>
        <w:pStyle w:val="Heading2"/>
        <w:spacing w:after="120" w:before="240"/>
      </w:pPr>
      <w:r>
        <w:t xml:space="preserve">6.3 Analysis</w:t>
      </w:r>
    </w:p>
    <w:p>
      <w:pPr>
        <w:spacing w:after="140" w:line="276"/>
      </w:pPr>
      <w:r>
        <w:rPr>
          <w:sz w:val="22"/>
          <w:szCs w:val="22"/>
        </w:rPr>
        <w:t xml:space="preserve">The aggregate click rate of 14.2% is unremarkable and sits close to the financial services sector average. Read alone it would suggest the current arrangement is performing adequately. That reading would be wrong, for three reasons.</w:t>
      </w:r>
    </w:p>
    <w:p>
      <w:pPr>
        <w:spacing w:after="140" w:line="276"/>
      </w:pPr>
      <w:r>
        <w:rPr>
          <w:sz w:val="22"/>
          <w:szCs w:val="22"/>
        </w:rPr>
        <w:t xml:space="preserve">First, the distribution matters more than the average. Sales and Partnerships clicked at 32.1%, more than four times the Engineering rate and more than double the company average. The same function submitted credentials at 13.1%, meaning roughly two in five Sales clickers went on to enter their password. Sales is also the function where training completion is weakest. The company does not have a phishing problem; it has a phishing problem in one function, which the average conceals.</w:t>
      </w:r>
    </w:p>
    <w:p>
      <w:pPr>
        <w:spacing w:after="140" w:line="276"/>
      </w:pPr>
      <w:r>
        <w:rPr>
          <w:sz w:val="22"/>
          <w:szCs w:val="22"/>
        </w:rPr>
        <w:t xml:space="preserve">Second, the report rate is the material weakness. At 31.0%, roughly two-thirds of the workforce that received a hostile message did nothing with it. The 334 workers who neither clicked nor reported are frequently counted as a success; they are not. A message that is ignored by 334 people and reported by none of them still reaches the 87 who click, and the Security Operations Centre learns of the campaign only from those who report. Report rate, not click rate, determines how quickly a real campaign is detected and blocked at the gateway for everyone else.</w:t>
      </w:r>
    </w:p>
    <w:p>
      <w:pPr>
        <w:spacing w:after="140" w:line="276"/>
      </w:pPr>
      <w:r>
        <w:rPr>
          <w:sz w:val="22"/>
          <w:szCs w:val="22"/>
        </w:rPr>
        <w:t xml:space="preserve">Third, and most consequential, none of this data has ever been acted upon. Forty-seven workers have clicked in two or more of the last four campaigns and have received no additional training, no conversation and no notification to their manager. The simulation programme has been operating as a measurement exercise for three years. Measuring the same failure four times a year without intervening is not a control.</w:t>
      </w:r>
    </w:p>
    <w:p>
      <w:pPr>
        <w:spacing w:after="140" w:line="276"/>
      </w:pPr>
      <w:r>
        <w:rPr>
          <w:sz w:val="22"/>
          <w:szCs w:val="22"/>
        </w:rPr>
        <w:t xml:space="preserve">The Sales concentration also connects to a finding outside this programme. Sales is the function most likely to adopt software-as-a-service tools without assessment, and the unregistered SaaS estate recorded at W-04 is a related behaviour: both reflect a function that is optimising for speed with customers and has not been given content explaining why the constraints exist. The role-based module for Sales at section 5.2 addresses both.</w:t>
      </w:r>
    </w:p>
    <w:p>
      <w:pPr>
        <w:pStyle w:val="Heading2"/>
        <w:spacing w:after="120" w:before="240"/>
      </w:pPr>
      <w:r>
        <w:t xml:space="preserve">6.4 Site comparison</w:t>
      </w:r>
    </w:p>
    <w:p>
      <w:pPr>
        <w:spacing w:after="140" w:line="276"/>
      </w:pPr>
      <w:r>
        <w:rPr>
          <w:sz w:val="22"/>
          <w:szCs w:val="22"/>
        </w:rPr>
        <w:t xml:space="preserve">A cross-cut by site shows the London office clicking at 18.6% against 13.0% in Austin. London is also where training completion is weakest. The two findings are consistent and are addressed together: the London population is prioritised in the completion recovery at section 8.1.</w:t>
      </w:r>
    </w:p>
    <w:p>
      <w:pPr>
        <w:pStyle w:val="Heading1"/>
        <w:spacing w:after="160" w:before="320"/>
      </w:pPr>
      <w:r>
        <w:t xml:space="preserve">7. Follow-up training matrix</w:t>
      </w:r>
    </w:p>
    <w:p>
      <w:pPr>
        <w:spacing w:after="140" w:line="276"/>
      </w:pPr>
      <w:r>
        <w:rPr>
          <w:sz w:val="22"/>
          <w:szCs w:val="22"/>
        </w:rPr>
        <w:t xml:space="preserve">This matrix is mandatory and automatic. Enrolment is triggered by the simulation platform within one business day of campaign close, without discretion at the point of assignment.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900"/>
        <w:gridCol w:w="2900"/>
        <w:gridCol w:w="1500"/>
        <w:gridCol w:w="1960"/>
      </w:tblGrid>
      <w:tr>
        <w:trPr>
          <w:tblHeader/>
        </w:trPr>
        <w:tc>
          <w:tcPr>
            <w:tcW w:type="dxa" w:w="2100"/>
            <w:shd w:fill="E7EAF0" w:color="auto" w:val="clear"/>
            <w:tcMar>
              <w:top w:type="dxa" w:w="90"/>
              <w:left w:type="dxa" w:w="130"/>
              <w:bottom w:type="dxa" w:w="90"/>
              <w:right w:type="dxa" w:w="130"/>
            </w:tcMar>
          </w:tcPr>
          <w:p>
            <w:pPr>
              <w:spacing w:after="0" w:line="260"/>
            </w:pPr>
            <w:r>
              <w:rPr>
                <w:b/>
                <w:bCs/>
                <w:sz w:val="20"/>
                <w:szCs w:val="20"/>
              </w:rPr>
              <w:t xml:space="preserve">Outcome</w:t>
            </w:r>
          </w:p>
        </w:tc>
        <w:tc>
          <w:tcPr>
            <w:tcW w:type="dxa" w:w="900"/>
            <w:shd w:fill="E7EAF0" w:color="auto" w:val="clear"/>
            <w:tcMar>
              <w:top w:type="dxa" w:w="90"/>
              <w:left w:type="dxa" w:w="130"/>
              <w:bottom w:type="dxa" w:w="90"/>
              <w:right w:type="dxa" w:w="130"/>
            </w:tcMar>
          </w:tcPr>
          <w:p>
            <w:pPr>
              <w:spacing w:after="0" w:line="260"/>
            </w:pPr>
            <w:r>
              <w:rPr>
                <w:b/>
                <w:bCs/>
                <w:sz w:val="20"/>
                <w:szCs w:val="20"/>
              </w:rPr>
              <w:t xml:space="preserve">Q2 2026</w:t>
            </w:r>
          </w:p>
        </w:tc>
        <w:tc>
          <w:tcPr>
            <w:tcW w:type="dxa" w:w="2900"/>
            <w:shd w:fill="E7EAF0" w:color="auto" w:val="clear"/>
            <w:tcMar>
              <w:top w:type="dxa" w:w="90"/>
              <w:left w:type="dxa" w:w="130"/>
              <w:bottom w:type="dxa" w:w="90"/>
              <w:right w:type="dxa" w:w="130"/>
            </w:tcMar>
          </w:tcPr>
          <w:p>
            <w:pPr>
              <w:spacing w:after="0" w:line="260"/>
            </w:pPr>
            <w:r>
              <w:rPr>
                <w:b/>
                <w:bCs/>
                <w:sz w:val="20"/>
                <w:szCs w:val="20"/>
              </w:rPr>
              <w:t xml:space="preserve">Intervention</w:t>
            </w:r>
          </w:p>
        </w:tc>
        <w:tc>
          <w:tcPr>
            <w:tcW w:type="dxa" w:w="1500"/>
            <w:shd w:fill="E7EAF0" w:color="auto" w:val="clear"/>
            <w:tcMar>
              <w:top w:type="dxa" w:w="90"/>
              <w:left w:type="dxa" w:w="130"/>
              <w:bottom w:type="dxa" w:w="90"/>
              <w:right w:type="dxa" w:w="130"/>
            </w:tcMar>
          </w:tcPr>
          <w:p>
            <w:pPr>
              <w:spacing w:after="0" w:line="260"/>
            </w:pPr>
            <w:r>
              <w:rPr>
                <w:b/>
                <w:bCs/>
                <w:sz w:val="20"/>
                <w:szCs w:val="20"/>
              </w:rPr>
              <w:t xml:space="preserve">Timescale</w:t>
            </w:r>
          </w:p>
        </w:tc>
        <w:tc>
          <w:tcPr>
            <w:tcW w:type="dxa" w:w="1960"/>
            <w:shd w:fill="E7EAF0" w:color="auto" w:val="clear"/>
            <w:tcMar>
              <w:top w:type="dxa" w:w="90"/>
              <w:left w:type="dxa" w:w="130"/>
              <w:bottom w:type="dxa" w:w="90"/>
              <w:right w:type="dxa" w:w="130"/>
            </w:tcMar>
          </w:tcPr>
          <w:p>
            <w:pPr>
              <w:spacing w:after="0" w:line="260"/>
            </w:pPr>
            <w:r>
              <w:rPr>
                <w:b/>
                <w:bCs/>
                <w:sz w:val="20"/>
                <w:szCs w:val="20"/>
              </w:rPr>
              <w:t xml:space="preserve">Escalation</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Reported without clicking</w:t>
            </w:r>
          </w:p>
        </w:tc>
        <w:tc>
          <w:tcPr>
            <w:tcW w:type="dxa" w:w="900"/>
            <w:tcMar>
              <w:top w:type="dxa" w:w="90"/>
              <w:left w:type="dxa" w:w="130"/>
              <w:bottom w:type="dxa" w:w="90"/>
              <w:right w:type="dxa" w:w="130"/>
            </w:tcMar>
          </w:tcPr>
          <w:p>
            <w:pPr>
              <w:spacing w:after="0" w:line="260"/>
            </w:pPr>
            <w:r>
              <w:rPr>
                <w:b w:val="false"/>
                <w:bCs w:val="false"/>
                <w:sz w:val="20"/>
                <w:szCs w:val="20"/>
              </w:rPr>
              <w:t xml:space="preserve">189</w:t>
            </w:r>
          </w:p>
        </w:tc>
        <w:tc>
          <w:tcPr>
            <w:tcW w:type="dxa" w:w="2900"/>
            <w:tcMar>
              <w:top w:type="dxa" w:w="90"/>
              <w:left w:type="dxa" w:w="130"/>
              <w:bottom w:type="dxa" w:w="90"/>
              <w:right w:type="dxa" w:w="130"/>
            </w:tcMar>
          </w:tcPr>
          <w:p>
            <w:pPr>
              <w:spacing w:after="0" w:line="260"/>
            </w:pPr>
            <w:r>
              <w:rPr>
                <w:b w:val="false"/>
                <w:bCs w:val="false"/>
                <w:sz w:val="20"/>
                <w:szCs w:val="20"/>
              </w:rPr>
              <w:t xml:space="preserve">Automated acknowledgement thanking the reporter. No training assigned. Reporters are recognised in the quarterly briefing where they consent.</w:t>
            </w:r>
          </w:p>
        </w:tc>
        <w:tc>
          <w:tcPr>
            <w:tcW w:type="dxa" w:w="1500"/>
            <w:tcMar>
              <w:top w:type="dxa" w:w="90"/>
              <w:left w:type="dxa" w:w="130"/>
              <w:bottom w:type="dxa" w:w="90"/>
              <w:right w:type="dxa" w:w="130"/>
            </w:tcMar>
          </w:tcPr>
          <w:p>
            <w:pPr>
              <w:spacing w:after="0" w:line="260"/>
            </w:pPr>
            <w:r>
              <w:rPr>
                <w:b w:val="false"/>
                <w:bCs w:val="false"/>
                <w:sz w:val="20"/>
                <w:szCs w:val="20"/>
              </w:rPr>
              <w:t xml:space="preserve">Within 24 hours</w:t>
            </w:r>
          </w:p>
        </w:tc>
        <w:tc>
          <w:tcPr>
            <w:tcW w:type="dxa" w:w="1960"/>
            <w:tcMar>
              <w:top w:type="dxa" w:w="90"/>
              <w:left w:type="dxa" w:w="130"/>
              <w:bottom w:type="dxa" w:w="90"/>
              <w:right w:type="dxa" w:w="130"/>
            </w:tcMar>
          </w:tcPr>
          <w:p>
            <w:pPr>
              <w:spacing w:after="0" w:line="260"/>
            </w:pPr>
            <w:r>
              <w:rPr>
                <w:b w:val="false"/>
                <w:bCs w:val="false"/>
                <w:sz w:val="20"/>
                <w:szCs w:val="20"/>
              </w:rPr>
              <w:t xml:space="preserve">None</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No recorded interaction</w:t>
            </w:r>
          </w:p>
        </w:tc>
        <w:tc>
          <w:tcPr>
            <w:tcW w:type="dxa" w:w="900"/>
            <w:tcMar>
              <w:top w:type="dxa" w:w="90"/>
              <w:left w:type="dxa" w:w="130"/>
              <w:bottom w:type="dxa" w:w="90"/>
              <w:right w:type="dxa" w:w="130"/>
            </w:tcMar>
          </w:tcPr>
          <w:p>
            <w:pPr>
              <w:spacing w:after="0" w:line="260"/>
            </w:pPr>
            <w:r>
              <w:rPr>
                <w:b w:val="false"/>
                <w:bCs w:val="false"/>
                <w:sz w:val="20"/>
                <w:szCs w:val="20"/>
              </w:rPr>
              <w:t xml:space="preserve">334</w:t>
            </w:r>
          </w:p>
        </w:tc>
        <w:tc>
          <w:tcPr>
            <w:tcW w:type="dxa" w:w="2900"/>
            <w:tcMar>
              <w:top w:type="dxa" w:w="90"/>
              <w:left w:type="dxa" w:w="130"/>
              <w:bottom w:type="dxa" w:w="90"/>
              <w:right w:type="dxa" w:w="130"/>
            </w:tcMar>
          </w:tcPr>
          <w:p>
            <w:pPr>
              <w:spacing w:after="0" w:line="260"/>
            </w:pPr>
            <w:r>
              <w:rPr>
                <w:b w:val="false"/>
                <w:bCs w:val="false"/>
                <w:sz w:val="20"/>
                <w:szCs w:val="20"/>
              </w:rPr>
              <w:t xml:space="preserve">No individual intervention. Included in the next campaign at a higher difficulty tier to distinguish vigilance from inattention.</w:t>
            </w:r>
          </w:p>
        </w:tc>
        <w:tc>
          <w:tcPr>
            <w:tcW w:type="dxa" w:w="1500"/>
            <w:tcMar>
              <w:top w:type="dxa" w:w="90"/>
              <w:left w:type="dxa" w:w="130"/>
              <w:bottom w:type="dxa" w:w="90"/>
              <w:right w:type="dxa" w:w="130"/>
            </w:tcMar>
          </w:tcPr>
          <w:p>
            <w:pPr>
              <w:spacing w:after="0" w:line="260"/>
            </w:pPr>
            <w:r>
              <w:rPr>
                <w:b w:val="false"/>
                <w:bCs w:val="false"/>
                <w:sz w:val="20"/>
                <w:szCs w:val="20"/>
              </w:rPr>
              <w:t xml:space="preserve">Next campaign</w:t>
            </w:r>
          </w:p>
        </w:tc>
        <w:tc>
          <w:tcPr>
            <w:tcW w:type="dxa" w:w="1960"/>
            <w:tcMar>
              <w:top w:type="dxa" w:w="90"/>
              <w:left w:type="dxa" w:w="130"/>
              <w:bottom w:type="dxa" w:w="90"/>
              <w:right w:type="dxa" w:w="130"/>
            </w:tcMar>
          </w:tcPr>
          <w:p>
            <w:pPr>
              <w:spacing w:after="0" w:line="260"/>
            </w:pPr>
            <w:r>
              <w:rPr>
                <w:b w:val="false"/>
                <w:bCs w:val="false"/>
                <w:sz w:val="20"/>
                <w:szCs w:val="20"/>
              </w:rPr>
              <w:t xml:space="preserve">None</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Clicked, did not submit</w:t>
            </w:r>
          </w:p>
        </w:tc>
        <w:tc>
          <w:tcPr>
            <w:tcW w:type="dxa" w:w="900"/>
            <w:tcMar>
              <w:top w:type="dxa" w:w="90"/>
              <w:left w:type="dxa" w:w="130"/>
              <w:bottom w:type="dxa" w:w="90"/>
              <w:right w:type="dxa" w:w="130"/>
            </w:tcMar>
          </w:tcPr>
          <w:p>
            <w:pPr>
              <w:spacing w:after="0" w:line="260"/>
            </w:pPr>
            <w:r>
              <w:rPr>
                <w:b w:val="false"/>
                <w:bCs w:val="false"/>
                <w:sz w:val="20"/>
                <w:szCs w:val="20"/>
              </w:rPr>
              <w:t xml:space="preserve">59</w:t>
            </w:r>
          </w:p>
        </w:tc>
        <w:tc>
          <w:tcPr>
            <w:tcW w:type="dxa" w:w="2900"/>
            <w:tcMar>
              <w:top w:type="dxa" w:w="90"/>
              <w:left w:type="dxa" w:w="130"/>
              <w:bottom w:type="dxa" w:w="90"/>
              <w:right w:type="dxa" w:w="130"/>
            </w:tcMar>
          </w:tcPr>
          <w:p>
            <w:pPr>
              <w:spacing w:after="0" w:line="260"/>
            </w:pPr>
            <w:r>
              <w:rPr>
                <w:b w:val="false"/>
                <w:bCs w:val="false"/>
                <w:sz w:val="20"/>
                <w:szCs w:val="20"/>
              </w:rPr>
              <w:t xml:space="preserve">Immediate on-click teachable moment page identifying the specific indicators in the lure, followed by a mandatory 15-minute module on link and sender inspection.</w:t>
            </w:r>
          </w:p>
        </w:tc>
        <w:tc>
          <w:tcPr>
            <w:tcW w:type="dxa" w:w="1500"/>
            <w:tcMar>
              <w:top w:type="dxa" w:w="90"/>
              <w:left w:type="dxa" w:w="130"/>
              <w:bottom w:type="dxa" w:w="90"/>
              <w:right w:type="dxa" w:w="130"/>
            </w:tcMar>
          </w:tcPr>
          <w:p>
            <w:pPr>
              <w:spacing w:after="0" w:line="260"/>
            </w:pPr>
            <w:r>
              <w:rPr>
                <w:b w:val="false"/>
                <w:bCs w:val="false"/>
                <w:sz w:val="20"/>
                <w:szCs w:val="20"/>
              </w:rPr>
              <w:t xml:space="preserve">5 business days</w:t>
            </w:r>
          </w:p>
        </w:tc>
        <w:tc>
          <w:tcPr>
            <w:tcW w:type="dxa" w:w="1960"/>
            <w:tcMar>
              <w:top w:type="dxa" w:w="90"/>
              <w:left w:type="dxa" w:w="130"/>
              <w:bottom w:type="dxa" w:w="90"/>
              <w:right w:type="dxa" w:w="130"/>
            </w:tcMar>
          </w:tcPr>
          <w:p>
            <w:pPr>
              <w:spacing w:after="0" w:line="260"/>
            </w:pPr>
            <w:r>
              <w:rPr>
                <w:b w:val="false"/>
                <w:bCs w:val="false"/>
                <w:sz w:val="20"/>
                <w:szCs w:val="20"/>
              </w:rPr>
              <w:t xml:space="preserve">Line manager notified at 14 days of non-completion</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Clicked, then reported</w:t>
            </w:r>
          </w:p>
        </w:tc>
        <w:tc>
          <w:tcPr>
            <w:tcW w:type="dxa" w:w="900"/>
            <w:tcMar>
              <w:top w:type="dxa" w:w="90"/>
              <w:left w:type="dxa" w:w="130"/>
              <w:bottom w:type="dxa" w:w="90"/>
              <w:right w:type="dxa" w:w="130"/>
            </w:tcMar>
          </w:tcPr>
          <w:p>
            <w:pPr>
              <w:spacing w:after="0" w:line="260"/>
            </w:pPr>
            <w:r>
              <w:rPr>
                <w:b w:val="false"/>
                <w:bCs w:val="false"/>
                <w:sz w:val="20"/>
                <w:szCs w:val="20"/>
              </w:rPr>
              <w:t xml:space="preserve">(22 of 87)</w:t>
            </w:r>
          </w:p>
        </w:tc>
        <w:tc>
          <w:tcPr>
            <w:tcW w:type="dxa" w:w="2900"/>
            <w:tcMar>
              <w:top w:type="dxa" w:w="90"/>
              <w:left w:type="dxa" w:w="130"/>
              <w:bottom w:type="dxa" w:w="90"/>
              <w:right w:type="dxa" w:w="130"/>
            </w:tcMar>
          </w:tcPr>
          <w:p>
            <w:pPr>
              <w:spacing w:after="0" w:line="260"/>
            </w:pPr>
            <w:r>
              <w:rPr>
                <w:b w:val="false"/>
                <w:bCs w:val="false"/>
                <w:sz w:val="20"/>
                <w:szCs w:val="20"/>
              </w:rPr>
              <w:t xml:space="preserve">Teachable moment page and the 15-minute module, with acknowledgement that the subsequent report was the correct action. Not counted toward repeat clicker status.</w:t>
            </w:r>
          </w:p>
        </w:tc>
        <w:tc>
          <w:tcPr>
            <w:tcW w:type="dxa" w:w="1500"/>
            <w:tcMar>
              <w:top w:type="dxa" w:w="90"/>
              <w:left w:type="dxa" w:w="130"/>
              <w:bottom w:type="dxa" w:w="90"/>
              <w:right w:type="dxa" w:w="130"/>
            </w:tcMar>
          </w:tcPr>
          <w:p>
            <w:pPr>
              <w:spacing w:after="0" w:line="260"/>
            </w:pPr>
            <w:r>
              <w:rPr>
                <w:b w:val="false"/>
                <w:bCs w:val="false"/>
                <w:sz w:val="20"/>
                <w:szCs w:val="20"/>
              </w:rPr>
              <w:t xml:space="preserve">5 business days</w:t>
            </w:r>
          </w:p>
        </w:tc>
        <w:tc>
          <w:tcPr>
            <w:tcW w:type="dxa" w:w="1960"/>
            <w:tcMar>
              <w:top w:type="dxa" w:w="90"/>
              <w:left w:type="dxa" w:w="130"/>
              <w:bottom w:type="dxa" w:w="90"/>
              <w:right w:type="dxa" w:w="130"/>
            </w:tcMar>
          </w:tcPr>
          <w:p>
            <w:pPr>
              <w:spacing w:after="0" w:line="260"/>
            </w:pPr>
            <w:r>
              <w:rPr>
                <w:b w:val="false"/>
                <w:bCs w:val="false"/>
                <w:sz w:val="20"/>
                <w:szCs w:val="20"/>
              </w:rPr>
              <w:t xml:space="preserve">None</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Submitted credentials</w:t>
            </w:r>
          </w:p>
        </w:tc>
        <w:tc>
          <w:tcPr>
            <w:tcW w:type="dxa" w:w="900"/>
            <w:tcMar>
              <w:top w:type="dxa" w:w="90"/>
              <w:left w:type="dxa" w:w="130"/>
              <w:bottom w:type="dxa" w:w="90"/>
              <w:right w:type="dxa" w:w="130"/>
            </w:tcMar>
          </w:tcPr>
          <w:p>
            <w:pPr>
              <w:spacing w:after="0" w:line="260"/>
            </w:pPr>
            <w:r>
              <w:rPr>
                <w:b w:val="false"/>
                <w:bCs w:val="false"/>
                <w:sz w:val="20"/>
                <w:szCs w:val="20"/>
              </w:rPr>
              <w:t xml:space="preserve">28</w:t>
            </w:r>
          </w:p>
        </w:tc>
        <w:tc>
          <w:tcPr>
            <w:tcW w:type="dxa" w:w="2900"/>
            <w:tcMar>
              <w:top w:type="dxa" w:w="90"/>
              <w:left w:type="dxa" w:w="130"/>
              <w:bottom w:type="dxa" w:w="90"/>
              <w:right w:type="dxa" w:w="130"/>
            </w:tcMar>
          </w:tcPr>
          <w:p>
            <w:pPr>
              <w:spacing w:after="0" w:line="260"/>
            </w:pPr>
            <w:r>
              <w:rPr>
                <w:b w:val="false"/>
                <w:bCs w:val="false"/>
                <w:sz w:val="20"/>
                <w:szCs w:val="20"/>
              </w:rPr>
              <w:t xml:space="preserve">Credential reset enforced immediately and all sessions revoked. Mandatory 30-minute instructor-led session covering credential handling and what an attacker does with a harvested password.</w:t>
            </w:r>
          </w:p>
        </w:tc>
        <w:tc>
          <w:tcPr>
            <w:tcW w:type="dxa" w:w="1500"/>
            <w:tcMar>
              <w:top w:type="dxa" w:w="90"/>
              <w:left w:type="dxa" w:w="130"/>
              <w:bottom w:type="dxa" w:w="90"/>
              <w:right w:type="dxa" w:w="130"/>
            </w:tcMar>
          </w:tcPr>
          <w:p>
            <w:pPr>
              <w:spacing w:after="0" w:line="260"/>
            </w:pPr>
            <w:r>
              <w:rPr>
                <w:b w:val="false"/>
                <w:bCs w:val="false"/>
                <w:sz w:val="20"/>
                <w:szCs w:val="20"/>
              </w:rPr>
              <w:t xml:space="preserve">Reset immediate; session within 10 business days</w:t>
            </w:r>
          </w:p>
        </w:tc>
        <w:tc>
          <w:tcPr>
            <w:tcW w:type="dxa" w:w="1960"/>
            <w:tcMar>
              <w:top w:type="dxa" w:w="90"/>
              <w:left w:type="dxa" w:w="130"/>
              <w:bottom w:type="dxa" w:w="90"/>
              <w:right w:type="dxa" w:w="130"/>
            </w:tcMar>
          </w:tcPr>
          <w:p>
            <w:pPr>
              <w:spacing w:after="0" w:line="260"/>
            </w:pPr>
            <w:r>
              <w:rPr>
                <w:b w:val="false"/>
                <w:bCs w:val="false"/>
                <w:sz w:val="20"/>
                <w:szCs w:val="20"/>
              </w:rPr>
              <w:t xml:space="preserve">Line manager notified immediately</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Repeat clicker (2+ of last 4)</w:t>
            </w:r>
          </w:p>
        </w:tc>
        <w:tc>
          <w:tcPr>
            <w:tcW w:type="dxa" w:w="900"/>
            <w:tcMar>
              <w:top w:type="dxa" w:w="90"/>
              <w:left w:type="dxa" w:w="130"/>
              <w:bottom w:type="dxa" w:w="90"/>
              <w:right w:type="dxa" w:w="130"/>
            </w:tcMar>
          </w:tcPr>
          <w:p>
            <w:pPr>
              <w:spacing w:after="0" w:line="260"/>
            </w:pPr>
            <w:r>
              <w:rPr>
                <w:b w:val="false"/>
                <w:bCs w:val="false"/>
                <w:sz w:val="20"/>
                <w:szCs w:val="20"/>
              </w:rPr>
              <w:t xml:space="preserve">47</w:t>
            </w:r>
          </w:p>
        </w:tc>
        <w:tc>
          <w:tcPr>
            <w:tcW w:type="dxa" w:w="2900"/>
            <w:tcMar>
              <w:top w:type="dxa" w:w="90"/>
              <w:left w:type="dxa" w:w="130"/>
              <w:bottom w:type="dxa" w:w="90"/>
              <w:right w:type="dxa" w:w="130"/>
            </w:tcMar>
          </w:tcPr>
          <w:p>
            <w:pPr>
              <w:spacing w:after="0" w:line="260"/>
            </w:pPr>
            <w:r>
              <w:rPr>
                <w:b w:val="false"/>
                <w:bCs w:val="false"/>
                <w:sz w:val="20"/>
                <w:szCs w:val="20"/>
              </w:rPr>
              <w:t xml:space="preserve">Facilitated small-group session of 45 minutes, plus a one-to-one conversation with the line manager using a supplied discussion guide. The conversation is supportive in framing and is not a disciplinary meeting.</w:t>
            </w:r>
          </w:p>
        </w:tc>
        <w:tc>
          <w:tcPr>
            <w:tcW w:type="dxa" w:w="1500"/>
            <w:tcMar>
              <w:top w:type="dxa" w:w="90"/>
              <w:left w:type="dxa" w:w="130"/>
              <w:bottom w:type="dxa" w:w="90"/>
              <w:right w:type="dxa" w:w="130"/>
            </w:tcMar>
          </w:tcPr>
          <w:p>
            <w:pPr>
              <w:spacing w:after="0" w:line="260"/>
            </w:pPr>
            <w:r>
              <w:rPr>
                <w:b w:val="false"/>
                <w:bCs w:val="false"/>
                <w:sz w:val="20"/>
                <w:szCs w:val="20"/>
              </w:rPr>
              <w:t xml:space="preserve">20 business days</w:t>
            </w:r>
          </w:p>
        </w:tc>
        <w:tc>
          <w:tcPr>
            <w:tcW w:type="dxa" w:w="1960"/>
            <w:tcMar>
              <w:top w:type="dxa" w:w="90"/>
              <w:left w:type="dxa" w:w="130"/>
              <w:bottom w:type="dxa" w:w="90"/>
              <w:right w:type="dxa" w:w="130"/>
            </w:tcMar>
          </w:tcPr>
          <w:p>
            <w:pPr>
              <w:spacing w:after="0" w:line="260"/>
            </w:pPr>
            <w:r>
              <w:rPr>
                <w:b w:val="false"/>
                <w:bCs w:val="false"/>
                <w:sz w:val="20"/>
                <w:szCs w:val="20"/>
              </w:rPr>
              <w:t xml:space="preserve">Function head notified; completion reported to the Security Steering Group</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Repeat credential submitter (2+)</w:t>
            </w:r>
          </w:p>
        </w:tc>
        <w:tc>
          <w:tcPr>
            <w:tcW w:type="dxa" w:w="900"/>
            <w:tcMar>
              <w:top w:type="dxa" w:w="90"/>
              <w:left w:type="dxa" w:w="130"/>
              <w:bottom w:type="dxa" w:w="90"/>
              <w:right w:type="dxa" w:w="130"/>
            </w:tcMar>
          </w:tcPr>
          <w:p>
            <w:pPr>
              <w:spacing w:after="0" w:line="260"/>
            </w:pPr>
            <w:r>
              <w:rPr>
                <w:b w:val="false"/>
                <w:bCs w:val="false"/>
                <w:sz w:val="20"/>
                <w:szCs w:val="20"/>
              </w:rPr>
              <w:t xml:space="preserve">9</w:t>
            </w:r>
          </w:p>
        </w:tc>
        <w:tc>
          <w:tcPr>
            <w:tcW w:type="dxa" w:w="2900"/>
            <w:tcMar>
              <w:top w:type="dxa" w:w="90"/>
              <w:left w:type="dxa" w:w="130"/>
              <w:bottom w:type="dxa" w:w="90"/>
              <w:right w:type="dxa" w:w="130"/>
            </w:tcMar>
          </w:tcPr>
          <w:p>
            <w:pPr>
              <w:spacing w:after="0" w:line="260"/>
            </w:pPr>
            <w:r>
              <w:rPr>
                <w:b w:val="false"/>
                <w:bCs w:val="false"/>
                <w:sz w:val="20"/>
                <w:szCs w:val="20"/>
              </w:rPr>
              <w:t xml:space="preserve">One-to-one coaching with a member of the security team; review of the worker’s access entitlements against business need; consultation with People Operations on whether a role or environment factor is contributing.</w:t>
            </w:r>
          </w:p>
        </w:tc>
        <w:tc>
          <w:tcPr>
            <w:tcW w:type="dxa" w:w="1500"/>
            <w:tcMar>
              <w:top w:type="dxa" w:w="90"/>
              <w:left w:type="dxa" w:w="130"/>
              <w:bottom w:type="dxa" w:w="90"/>
              <w:right w:type="dxa" w:w="130"/>
            </w:tcMar>
          </w:tcPr>
          <w:p>
            <w:pPr>
              <w:spacing w:after="0" w:line="260"/>
            </w:pPr>
            <w:r>
              <w:rPr>
                <w:b w:val="false"/>
                <w:bCs w:val="false"/>
                <w:sz w:val="20"/>
                <w:szCs w:val="20"/>
              </w:rPr>
              <w:t xml:space="preserve">10 business days</w:t>
            </w:r>
          </w:p>
        </w:tc>
        <w:tc>
          <w:tcPr>
            <w:tcW w:type="dxa" w:w="1960"/>
            <w:tcMar>
              <w:top w:type="dxa" w:w="90"/>
              <w:left w:type="dxa" w:w="130"/>
              <w:bottom w:type="dxa" w:w="90"/>
              <w:right w:type="dxa" w:w="130"/>
            </w:tcMar>
          </w:tcPr>
          <w:p>
            <w:pPr>
              <w:spacing w:after="0" w:line="260"/>
            </w:pPr>
            <w:r>
              <w:rPr>
                <w:b w:val="false"/>
                <w:bCs w:val="false"/>
                <w:sz w:val="20"/>
                <w:szCs w:val="20"/>
              </w:rPr>
              <w:t xml:space="preserve">CISO and People Operations; ERC informed in the quarterly report</w:t>
            </w:r>
          </w:p>
        </w:tc>
      </w:tr>
      <w:tr>
        <w:trPr>
          <w:tblHeader w:val="false"/>
        </w:trPr>
        <w:tc>
          <w:tcPr>
            <w:tcW w:type="dxa" w:w="2100"/>
            <w:tcMar>
              <w:top w:type="dxa" w:w="90"/>
              <w:left w:type="dxa" w:w="130"/>
              <w:bottom w:type="dxa" w:w="90"/>
              <w:right w:type="dxa" w:w="130"/>
            </w:tcMar>
          </w:tcPr>
          <w:p>
            <w:pPr>
              <w:spacing w:after="0" w:line="260"/>
            </w:pPr>
            <w:r>
              <w:rPr>
                <w:b w:val="false"/>
                <w:bCs w:val="false"/>
                <w:sz w:val="20"/>
                <w:szCs w:val="20"/>
              </w:rPr>
              <w:t xml:space="preserve">Non-completion of assigned training</w:t>
            </w:r>
          </w:p>
        </w:tc>
        <w:tc>
          <w:tcPr>
            <w:tcW w:type="dxa" w:w="900"/>
            <w:tcMar>
              <w:top w:type="dxa" w:w="90"/>
              <w:left w:type="dxa" w:w="130"/>
              <w:bottom w:type="dxa" w:w="90"/>
              <w:right w:type="dxa" w:w="130"/>
            </w:tcMar>
          </w:tcPr>
          <w:p>
            <w:pPr>
              <w:spacing w:after="0" w:line="260"/>
            </w:pPr>
            <w:r>
              <w:rPr>
                <w:b w:val="false"/>
                <w:bCs w:val="false"/>
                <w:sz w:val="20"/>
                <w:szCs w:val="20"/>
              </w:rPr>
              <w:t xml:space="preserve">—</w:t>
            </w:r>
          </w:p>
        </w:tc>
        <w:tc>
          <w:tcPr>
            <w:tcW w:type="dxa" w:w="2900"/>
            <w:tcMar>
              <w:top w:type="dxa" w:w="90"/>
              <w:left w:type="dxa" w:w="130"/>
              <w:bottom w:type="dxa" w:w="90"/>
              <w:right w:type="dxa" w:w="130"/>
            </w:tcMar>
          </w:tcPr>
          <w:p>
            <w:pPr>
              <w:spacing w:after="0" w:line="260"/>
            </w:pPr>
            <w:r>
              <w:rPr>
                <w:b w:val="false"/>
                <w:bCs w:val="false"/>
                <w:sz w:val="20"/>
                <w:szCs w:val="20"/>
              </w:rPr>
              <w:t xml:space="preserve">Automated reminders at 7, 14 and 21 days. At 30 days, access to non-essential systems is suspended until completion.</w:t>
            </w:r>
          </w:p>
        </w:tc>
        <w:tc>
          <w:tcPr>
            <w:tcW w:type="dxa" w:w="1500"/>
            <w:tcMar>
              <w:top w:type="dxa" w:w="90"/>
              <w:left w:type="dxa" w:w="130"/>
              <w:bottom w:type="dxa" w:w="90"/>
              <w:right w:type="dxa" w:w="130"/>
            </w:tcMar>
          </w:tcPr>
          <w:p>
            <w:pPr>
              <w:spacing w:after="0" w:line="260"/>
            </w:pPr>
            <w:r>
              <w:rPr>
                <w:b w:val="false"/>
                <w:bCs w:val="false"/>
                <w:sz w:val="20"/>
                <w:szCs w:val="20"/>
              </w:rPr>
              <w:t xml:space="preserve">30 days</w:t>
            </w:r>
          </w:p>
        </w:tc>
        <w:tc>
          <w:tcPr>
            <w:tcW w:type="dxa" w:w="1960"/>
            <w:tcMar>
              <w:top w:type="dxa" w:w="90"/>
              <w:left w:type="dxa" w:w="130"/>
              <w:bottom w:type="dxa" w:w="90"/>
              <w:right w:type="dxa" w:w="130"/>
            </w:tcMar>
          </w:tcPr>
          <w:p>
            <w:pPr>
              <w:spacing w:after="0" w:line="260"/>
            </w:pPr>
            <w:r>
              <w:rPr>
                <w:b w:val="false"/>
                <w:bCs w:val="false"/>
                <w:sz w:val="20"/>
                <w:szCs w:val="20"/>
              </w:rPr>
              <w:t xml:space="preserve">Function head at 30 days; ERC by name at 45 days</w:t>
            </w:r>
          </w:p>
        </w:tc>
      </w:tr>
    </w:tbl>
    <w:p>
      <w:pPr>
        <w:spacing w:after="140" w:line="276"/>
      </w:pPr>
      <w:r>
        <w:rPr>
          <w:sz w:val="22"/>
          <w:szCs w:val="22"/>
        </w:rPr>
        <w:t xml:space="preserve">The suspension provision at 30 days requires Executive Risk Committee approval before first use and is the only punitive element in the programme. It exists because the alternative — reporting 91% completion indefinitely — has been tried and has not worked.</w:t>
      </w:r>
    </w:p>
    <w:p>
      <w:pPr>
        <w:spacing w:after="140" w:line="276"/>
      </w:pPr>
      <w:r>
        <w:rPr>
          <w:sz w:val="22"/>
          <w:szCs w:val="22"/>
        </w:rPr>
        <w:t xml:space="preserve">The provision must be applied differently in the two jurisdictions. In the United Kingdom, withdrawing access in a way that prevents a worker performing their role engages employment law considerations that do not arise in the same form in Texas, and may amount to a unilateral variation of terms or, in combination with other factors, support a constructive dismissal argument. Before first use in the UK, People Operations must confirm the approach with employment counsel, and the measure must be applied consistently rather than at managerial discretion. Applying a single global rule without that check is the kind of decision that converts a reasonable control into a tribunal claim.</w:t>
      </w:r>
    </w:p>
    <w:p>
      <w:pPr>
        <w:pStyle w:val="Heading1"/>
        <w:spacing w:after="160" w:before="320"/>
      </w:pPr>
      <w:r>
        <w:t xml:space="preserve">8. Targets and measurement</w:t>
      </w:r>
    </w:p>
    <w:p>
      <w:pPr>
        <w:pStyle w:val="Heading2"/>
        <w:spacing w:after="120" w:before="240"/>
      </w:pPr>
      <w:r>
        <w:t xml:space="preserve">8.1 Immediate recovery actions</w:t>
      </w:r>
    </w:p>
    <w:p>
      <w:pPr>
        <w:pStyle w:val="ListParagraph"/>
        <w:numPr>
          <w:ilvl w:val="0"/>
          <w:numId w:val="2"/>
        </w:numPr>
        <w:spacing w:after="80" w:line="276"/>
      </w:pPr>
      <w:r>
        <w:rPr>
          <w:sz w:val="22"/>
          <w:szCs w:val="22"/>
        </w:rPr>
        <w:t xml:space="preserve">Close the training completion gap from 91% to above 98% by 31 December 2026, prioritising the 55 outstanding workers in Sales and London.</w:t>
      </w:r>
    </w:p>
    <w:p>
      <w:pPr>
        <w:pStyle w:val="ListParagraph"/>
        <w:numPr>
          <w:ilvl w:val="0"/>
          <w:numId w:val="2"/>
        </w:numPr>
        <w:spacing w:after="80" w:line="276"/>
      </w:pPr>
      <w:r>
        <w:rPr>
          <w:sz w:val="22"/>
          <w:szCs w:val="22"/>
        </w:rPr>
        <w:t xml:space="preserve">Enrol the 47 repeat clickers into the intervention pathway within 20 business days of programme approval, clearing the accumulated backlog.</w:t>
      </w:r>
    </w:p>
    <w:p>
      <w:pPr>
        <w:pStyle w:val="ListParagraph"/>
        <w:numPr>
          <w:ilvl w:val="0"/>
          <w:numId w:val="2"/>
        </w:numPr>
        <w:spacing w:after="80" w:line="276"/>
      </w:pPr>
      <w:r>
        <w:rPr>
          <w:sz w:val="22"/>
          <w:szCs w:val="22"/>
        </w:rPr>
        <w:t xml:space="preserve">Deliver the Sales role-based module ahead of all other functions, by 30 November 2026.</w:t>
      </w:r>
    </w:p>
    <w:p>
      <w:pPr>
        <w:pStyle w:val="Heading2"/>
        <w:spacing w:after="120" w:before="240"/>
      </w:pPr>
      <w:r>
        <w:t xml:space="preserve">8.2 Targets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500"/>
        <w:gridCol w:w="1800"/>
        <w:gridCol w:w="3060"/>
      </w:tblGrid>
      <w:tr>
        <w:trPr>
          <w:tblHeader/>
        </w:trPr>
        <w:tc>
          <w:tcPr>
            <w:tcW w:type="dxa" w:w="3000"/>
            <w:shd w:fill="E7EAF0" w:color="auto" w:val="clear"/>
            <w:tcMar>
              <w:top w:type="dxa" w:w="90"/>
              <w:left w:type="dxa" w:w="130"/>
              <w:bottom w:type="dxa" w:w="90"/>
              <w:right w:type="dxa" w:w="130"/>
            </w:tcMar>
          </w:tcPr>
          <w:p>
            <w:pPr>
              <w:spacing w:after="0" w:line="260"/>
            </w:pPr>
            <w:r>
              <w:rPr>
                <w:b/>
                <w:bCs/>
                <w:sz w:val="20"/>
                <w:szCs w:val="20"/>
              </w:rPr>
              <w:t xml:space="preserve">Measure</w:t>
            </w:r>
          </w:p>
        </w:tc>
        <w:tc>
          <w:tcPr>
            <w:tcW w:type="dxa" w:w="1500"/>
            <w:shd w:fill="E7EAF0" w:color="auto" w:val="clear"/>
            <w:tcMar>
              <w:top w:type="dxa" w:w="90"/>
              <w:left w:type="dxa" w:w="130"/>
              <w:bottom w:type="dxa" w:w="90"/>
              <w:right w:type="dxa" w:w="130"/>
            </w:tcMar>
          </w:tcPr>
          <w:p>
            <w:pPr>
              <w:spacing w:after="0" w:line="260"/>
            </w:pPr>
            <w:r>
              <w:rPr>
                <w:b/>
                <w:bCs/>
                <w:sz w:val="20"/>
                <w:szCs w:val="20"/>
              </w:rPr>
              <w:t xml:space="preserve">Baseline</w:t>
            </w:r>
          </w:p>
        </w:tc>
        <w:tc>
          <w:tcPr>
            <w:tcW w:type="dxa" w:w="1800"/>
            <w:shd w:fill="E7EAF0" w:color="auto" w:val="clear"/>
            <w:tcMar>
              <w:top w:type="dxa" w:w="90"/>
              <w:left w:type="dxa" w:w="130"/>
              <w:bottom w:type="dxa" w:w="90"/>
              <w:right w:type="dxa" w:w="130"/>
            </w:tcMar>
          </w:tcPr>
          <w:p>
            <w:pPr>
              <w:spacing w:after="0" w:line="260"/>
            </w:pPr>
            <w:r>
              <w:rPr>
                <w:b/>
                <w:bCs/>
                <w:sz w:val="20"/>
                <w:szCs w:val="20"/>
              </w:rPr>
              <w:t xml:space="preserve">Target</w:t>
            </w:r>
          </w:p>
        </w:tc>
        <w:tc>
          <w:tcPr>
            <w:tcW w:type="dxa" w:w="3060"/>
            <w:shd w:fill="E7EAF0" w:color="auto" w:val="clear"/>
            <w:tcMar>
              <w:top w:type="dxa" w:w="90"/>
              <w:left w:type="dxa" w:w="130"/>
              <w:bottom w:type="dxa" w:w="90"/>
              <w:right w:type="dxa" w:w="130"/>
            </w:tcMar>
          </w:tcPr>
          <w:p>
            <w:pPr>
              <w:spacing w:after="0" w:line="260"/>
            </w:pPr>
            <w:r>
              <w:rPr>
                <w:b/>
                <w:bCs/>
                <w:sz w:val="20"/>
                <w:szCs w:val="20"/>
              </w:rPr>
              <w:t xml:space="preserve">By</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Report rate</w:t>
            </w:r>
          </w:p>
        </w:tc>
        <w:tc>
          <w:tcPr>
            <w:tcW w:type="dxa" w:w="1500"/>
            <w:tcMar>
              <w:top w:type="dxa" w:w="90"/>
              <w:left w:type="dxa" w:w="130"/>
              <w:bottom w:type="dxa" w:w="90"/>
              <w:right w:type="dxa" w:w="130"/>
            </w:tcMar>
          </w:tcPr>
          <w:p>
            <w:pPr>
              <w:spacing w:after="0" w:line="260"/>
            </w:pPr>
            <w:r>
              <w:rPr>
                <w:b w:val="false"/>
                <w:bCs w:val="false"/>
                <w:sz w:val="20"/>
                <w:szCs w:val="20"/>
              </w:rPr>
              <w:t xml:space="preserve">31.0%</w:t>
            </w:r>
          </w:p>
        </w:tc>
        <w:tc>
          <w:tcPr>
            <w:tcW w:type="dxa" w:w="1800"/>
            <w:tcMar>
              <w:top w:type="dxa" w:w="90"/>
              <w:left w:type="dxa" w:w="130"/>
              <w:bottom w:type="dxa" w:w="90"/>
              <w:right w:type="dxa" w:w="130"/>
            </w:tcMar>
          </w:tcPr>
          <w:p>
            <w:pPr>
              <w:spacing w:after="0" w:line="260"/>
            </w:pPr>
            <w:r>
              <w:rPr>
                <w:b w:val="false"/>
                <w:bCs w:val="false"/>
                <w:sz w:val="20"/>
                <w:szCs w:val="20"/>
              </w:rPr>
              <w:t xml:space="preserve">Above 55%</w:t>
            </w:r>
          </w:p>
        </w:tc>
        <w:tc>
          <w:tcPr>
            <w:tcW w:type="dxa" w:w="3060"/>
            <w:tcMar>
              <w:top w:type="dxa" w:w="90"/>
              <w:left w:type="dxa" w:w="130"/>
              <w:bottom w:type="dxa" w:w="90"/>
              <w:right w:type="dxa" w:w="130"/>
            </w:tcMar>
          </w:tcPr>
          <w:p>
            <w:pPr>
              <w:spacing w:after="0" w:line="260"/>
            </w:pPr>
            <w:r>
              <w:rPr>
                <w:b w:val="false"/>
                <w:bCs w:val="false"/>
                <w:sz w:val="20"/>
                <w:szCs w:val="20"/>
              </w:rPr>
              <w:t xml:space="preserve">30 September 2027</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Click rate</w:t>
            </w:r>
          </w:p>
        </w:tc>
        <w:tc>
          <w:tcPr>
            <w:tcW w:type="dxa" w:w="1500"/>
            <w:tcMar>
              <w:top w:type="dxa" w:w="90"/>
              <w:left w:type="dxa" w:w="130"/>
              <w:bottom w:type="dxa" w:w="90"/>
              <w:right w:type="dxa" w:w="130"/>
            </w:tcMar>
          </w:tcPr>
          <w:p>
            <w:pPr>
              <w:spacing w:after="0" w:line="260"/>
            </w:pPr>
            <w:r>
              <w:rPr>
                <w:b w:val="false"/>
                <w:bCs w:val="false"/>
                <w:sz w:val="20"/>
                <w:szCs w:val="20"/>
              </w:rPr>
              <w:t xml:space="preserve">14.2%</w:t>
            </w:r>
          </w:p>
        </w:tc>
        <w:tc>
          <w:tcPr>
            <w:tcW w:type="dxa" w:w="1800"/>
            <w:tcMar>
              <w:top w:type="dxa" w:w="90"/>
              <w:left w:type="dxa" w:w="130"/>
              <w:bottom w:type="dxa" w:w="90"/>
              <w:right w:type="dxa" w:w="130"/>
            </w:tcMar>
          </w:tcPr>
          <w:p>
            <w:pPr>
              <w:spacing w:after="0" w:line="260"/>
            </w:pPr>
            <w:r>
              <w:rPr>
                <w:b w:val="false"/>
                <w:bCs w:val="false"/>
                <w:sz w:val="20"/>
                <w:szCs w:val="20"/>
              </w:rPr>
              <w:t xml:space="preserve">Below 8%</w:t>
            </w:r>
          </w:p>
        </w:tc>
        <w:tc>
          <w:tcPr>
            <w:tcW w:type="dxa" w:w="3060"/>
            <w:tcMar>
              <w:top w:type="dxa" w:w="90"/>
              <w:left w:type="dxa" w:w="130"/>
              <w:bottom w:type="dxa" w:w="90"/>
              <w:right w:type="dxa" w:w="130"/>
            </w:tcMar>
          </w:tcPr>
          <w:p>
            <w:pPr>
              <w:spacing w:after="0" w:line="260"/>
            </w:pPr>
            <w:r>
              <w:rPr>
                <w:b w:val="false"/>
                <w:bCs w:val="false"/>
                <w:sz w:val="20"/>
                <w:szCs w:val="20"/>
              </w:rPr>
              <w:t xml:space="preserve">30 September 2027</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Click rate, worst-performing function</w:t>
            </w:r>
          </w:p>
        </w:tc>
        <w:tc>
          <w:tcPr>
            <w:tcW w:type="dxa" w:w="1500"/>
            <w:tcMar>
              <w:top w:type="dxa" w:w="90"/>
              <w:left w:type="dxa" w:w="130"/>
              <w:bottom w:type="dxa" w:w="90"/>
              <w:right w:type="dxa" w:w="130"/>
            </w:tcMar>
          </w:tcPr>
          <w:p>
            <w:pPr>
              <w:spacing w:after="0" w:line="260"/>
            </w:pPr>
            <w:r>
              <w:rPr>
                <w:b w:val="false"/>
                <w:bCs w:val="false"/>
                <w:sz w:val="20"/>
                <w:szCs w:val="20"/>
              </w:rPr>
              <w:t xml:space="preserve">32.1%</w:t>
            </w:r>
          </w:p>
        </w:tc>
        <w:tc>
          <w:tcPr>
            <w:tcW w:type="dxa" w:w="1800"/>
            <w:tcMar>
              <w:top w:type="dxa" w:w="90"/>
              <w:left w:type="dxa" w:w="130"/>
              <w:bottom w:type="dxa" w:w="90"/>
              <w:right w:type="dxa" w:w="130"/>
            </w:tcMar>
          </w:tcPr>
          <w:p>
            <w:pPr>
              <w:spacing w:after="0" w:line="260"/>
            </w:pPr>
            <w:r>
              <w:rPr>
                <w:b w:val="false"/>
                <w:bCs w:val="false"/>
                <w:sz w:val="20"/>
                <w:szCs w:val="20"/>
              </w:rPr>
              <w:t xml:space="preserve">Below 12%</w:t>
            </w:r>
          </w:p>
        </w:tc>
        <w:tc>
          <w:tcPr>
            <w:tcW w:type="dxa" w:w="3060"/>
            <w:tcMar>
              <w:top w:type="dxa" w:w="90"/>
              <w:left w:type="dxa" w:w="130"/>
              <w:bottom w:type="dxa" w:w="90"/>
              <w:right w:type="dxa" w:w="130"/>
            </w:tcMar>
          </w:tcPr>
          <w:p>
            <w:pPr>
              <w:spacing w:after="0" w:line="260"/>
            </w:pPr>
            <w:r>
              <w:rPr>
                <w:b w:val="false"/>
                <w:bCs w:val="false"/>
                <w:sz w:val="20"/>
                <w:szCs w:val="20"/>
              </w:rPr>
              <w:t xml:space="preserve">30 June 2027</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Credential submission rate</w:t>
            </w:r>
          </w:p>
        </w:tc>
        <w:tc>
          <w:tcPr>
            <w:tcW w:type="dxa" w:w="1500"/>
            <w:tcMar>
              <w:top w:type="dxa" w:w="90"/>
              <w:left w:type="dxa" w:w="130"/>
              <w:bottom w:type="dxa" w:w="90"/>
              <w:right w:type="dxa" w:w="130"/>
            </w:tcMar>
          </w:tcPr>
          <w:p>
            <w:pPr>
              <w:spacing w:after="0" w:line="260"/>
            </w:pPr>
            <w:r>
              <w:rPr>
                <w:b w:val="false"/>
                <w:bCs w:val="false"/>
                <w:sz w:val="20"/>
                <w:szCs w:val="20"/>
              </w:rPr>
              <w:t xml:space="preserve">4.6%</w:t>
            </w:r>
          </w:p>
        </w:tc>
        <w:tc>
          <w:tcPr>
            <w:tcW w:type="dxa" w:w="1800"/>
            <w:tcMar>
              <w:top w:type="dxa" w:w="90"/>
              <w:left w:type="dxa" w:w="130"/>
              <w:bottom w:type="dxa" w:w="90"/>
              <w:right w:type="dxa" w:w="130"/>
            </w:tcMar>
          </w:tcPr>
          <w:p>
            <w:pPr>
              <w:spacing w:after="0" w:line="260"/>
            </w:pPr>
            <w:r>
              <w:rPr>
                <w:b w:val="false"/>
                <w:bCs w:val="false"/>
                <w:sz w:val="20"/>
                <w:szCs w:val="20"/>
              </w:rPr>
              <w:t xml:space="preserve">Below 1.5%</w:t>
            </w:r>
          </w:p>
        </w:tc>
        <w:tc>
          <w:tcPr>
            <w:tcW w:type="dxa" w:w="3060"/>
            <w:tcMar>
              <w:top w:type="dxa" w:w="90"/>
              <w:left w:type="dxa" w:w="130"/>
              <w:bottom w:type="dxa" w:w="90"/>
              <w:right w:type="dxa" w:w="130"/>
            </w:tcMar>
          </w:tcPr>
          <w:p>
            <w:pPr>
              <w:spacing w:after="0" w:line="260"/>
            </w:pPr>
            <w:r>
              <w:rPr>
                <w:b w:val="false"/>
                <w:bCs w:val="false"/>
                <w:sz w:val="20"/>
                <w:szCs w:val="20"/>
              </w:rPr>
              <w:t xml:space="preserve">30 September 2027</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Median time to first report</w:t>
            </w:r>
          </w:p>
        </w:tc>
        <w:tc>
          <w:tcPr>
            <w:tcW w:type="dxa" w:w="1500"/>
            <w:tcMar>
              <w:top w:type="dxa" w:w="90"/>
              <w:left w:type="dxa" w:w="130"/>
              <w:bottom w:type="dxa" w:w="90"/>
              <w:right w:type="dxa" w:w="130"/>
            </w:tcMar>
          </w:tcPr>
          <w:p>
            <w:pPr>
              <w:spacing w:after="0" w:line="260"/>
            </w:pPr>
            <w:r>
              <w:rPr>
                <w:b w:val="false"/>
                <w:bCs w:val="false"/>
                <w:sz w:val="20"/>
                <w:szCs w:val="20"/>
              </w:rPr>
              <w:t xml:space="preserve">11 minutes</w:t>
            </w:r>
          </w:p>
        </w:tc>
        <w:tc>
          <w:tcPr>
            <w:tcW w:type="dxa" w:w="1800"/>
            <w:tcMar>
              <w:top w:type="dxa" w:w="90"/>
              <w:left w:type="dxa" w:w="130"/>
              <w:bottom w:type="dxa" w:w="90"/>
              <w:right w:type="dxa" w:w="130"/>
            </w:tcMar>
          </w:tcPr>
          <w:p>
            <w:pPr>
              <w:spacing w:after="0" w:line="260"/>
            </w:pPr>
            <w:r>
              <w:rPr>
                <w:b w:val="false"/>
                <w:bCs w:val="false"/>
                <w:sz w:val="20"/>
                <w:szCs w:val="20"/>
              </w:rPr>
              <w:t xml:space="preserve">Under 8 minutes</w:t>
            </w:r>
          </w:p>
        </w:tc>
        <w:tc>
          <w:tcPr>
            <w:tcW w:type="dxa" w:w="3060"/>
            <w:tcMar>
              <w:top w:type="dxa" w:w="90"/>
              <w:left w:type="dxa" w:w="130"/>
              <w:bottom w:type="dxa" w:w="90"/>
              <w:right w:type="dxa" w:w="130"/>
            </w:tcMar>
          </w:tcPr>
          <w:p>
            <w:pPr>
              <w:spacing w:after="0" w:line="260"/>
            </w:pPr>
            <w:r>
              <w:rPr>
                <w:b w:val="false"/>
                <w:bCs w:val="false"/>
                <w:sz w:val="20"/>
                <w:szCs w:val="20"/>
              </w:rPr>
              <w:t xml:space="preserve">30 September 2027</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Core training completion</w:t>
            </w:r>
          </w:p>
        </w:tc>
        <w:tc>
          <w:tcPr>
            <w:tcW w:type="dxa" w:w="1500"/>
            <w:tcMar>
              <w:top w:type="dxa" w:w="90"/>
              <w:left w:type="dxa" w:w="130"/>
              <w:bottom w:type="dxa" w:w="90"/>
              <w:right w:type="dxa" w:w="130"/>
            </w:tcMar>
          </w:tcPr>
          <w:p>
            <w:pPr>
              <w:spacing w:after="0" w:line="260"/>
            </w:pPr>
            <w:r>
              <w:rPr>
                <w:b w:val="false"/>
                <w:bCs w:val="false"/>
                <w:sz w:val="20"/>
                <w:szCs w:val="20"/>
              </w:rPr>
              <w:t xml:space="preserve">91%</w:t>
            </w:r>
          </w:p>
        </w:tc>
        <w:tc>
          <w:tcPr>
            <w:tcW w:type="dxa" w:w="1800"/>
            <w:tcMar>
              <w:top w:type="dxa" w:w="90"/>
              <w:left w:type="dxa" w:w="130"/>
              <w:bottom w:type="dxa" w:w="90"/>
              <w:right w:type="dxa" w:w="130"/>
            </w:tcMar>
          </w:tcPr>
          <w:p>
            <w:pPr>
              <w:spacing w:after="0" w:line="260"/>
            </w:pPr>
            <w:r>
              <w:rPr>
                <w:b w:val="false"/>
                <w:bCs w:val="false"/>
                <w:sz w:val="20"/>
                <w:szCs w:val="20"/>
              </w:rPr>
              <w:t xml:space="preserve">Above 98%</w:t>
            </w:r>
          </w:p>
        </w:tc>
        <w:tc>
          <w:tcPr>
            <w:tcW w:type="dxa" w:w="3060"/>
            <w:tcMar>
              <w:top w:type="dxa" w:w="90"/>
              <w:left w:type="dxa" w:w="130"/>
              <w:bottom w:type="dxa" w:w="90"/>
              <w:right w:type="dxa" w:w="130"/>
            </w:tcMar>
          </w:tcPr>
          <w:p>
            <w:pPr>
              <w:spacing w:after="0" w:line="260"/>
            </w:pPr>
            <w:r>
              <w:rPr>
                <w:b w:val="false"/>
                <w:bCs w:val="false"/>
                <w:sz w:val="20"/>
                <w:szCs w:val="20"/>
              </w:rPr>
              <w:t xml:space="preserve">31 December 2026</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Role-based training completion</w:t>
            </w:r>
          </w:p>
        </w:tc>
        <w:tc>
          <w:tcPr>
            <w:tcW w:type="dxa" w:w="1500"/>
            <w:tcMar>
              <w:top w:type="dxa" w:w="90"/>
              <w:left w:type="dxa" w:w="130"/>
              <w:bottom w:type="dxa" w:w="90"/>
              <w:right w:type="dxa" w:w="130"/>
            </w:tcMar>
          </w:tcPr>
          <w:p>
            <w:pPr>
              <w:spacing w:after="0" w:line="260"/>
            </w:pPr>
            <w:r>
              <w:rPr>
                <w:b w:val="false"/>
                <w:bCs w:val="false"/>
                <w:sz w:val="20"/>
                <w:szCs w:val="20"/>
              </w:rPr>
              <w:t xml:space="preserve">n/a</w:t>
            </w:r>
          </w:p>
        </w:tc>
        <w:tc>
          <w:tcPr>
            <w:tcW w:type="dxa" w:w="1800"/>
            <w:tcMar>
              <w:top w:type="dxa" w:w="90"/>
              <w:left w:type="dxa" w:w="130"/>
              <w:bottom w:type="dxa" w:w="90"/>
              <w:right w:type="dxa" w:w="130"/>
            </w:tcMar>
          </w:tcPr>
          <w:p>
            <w:pPr>
              <w:spacing w:after="0" w:line="260"/>
            </w:pPr>
            <w:r>
              <w:rPr>
                <w:b w:val="false"/>
                <w:bCs w:val="false"/>
                <w:sz w:val="20"/>
                <w:szCs w:val="20"/>
              </w:rPr>
              <w:t xml:space="preserve">Above 95%</w:t>
            </w:r>
          </w:p>
        </w:tc>
        <w:tc>
          <w:tcPr>
            <w:tcW w:type="dxa" w:w="3060"/>
            <w:tcMar>
              <w:top w:type="dxa" w:w="90"/>
              <w:left w:type="dxa" w:w="130"/>
              <w:bottom w:type="dxa" w:w="90"/>
              <w:right w:type="dxa" w:w="130"/>
            </w:tcMar>
          </w:tcPr>
          <w:p>
            <w:pPr>
              <w:spacing w:after="0" w:line="260"/>
            </w:pPr>
            <w:r>
              <w:rPr>
                <w:b w:val="false"/>
                <w:bCs w:val="false"/>
                <w:sz w:val="20"/>
                <w:szCs w:val="20"/>
              </w:rPr>
              <w:t xml:space="preserve">30 June 2027</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Repeat clickers</w:t>
            </w:r>
          </w:p>
        </w:tc>
        <w:tc>
          <w:tcPr>
            <w:tcW w:type="dxa" w:w="1500"/>
            <w:tcMar>
              <w:top w:type="dxa" w:w="90"/>
              <w:left w:type="dxa" w:w="130"/>
              <w:bottom w:type="dxa" w:w="90"/>
              <w:right w:type="dxa" w:w="130"/>
            </w:tcMar>
          </w:tcPr>
          <w:p>
            <w:pPr>
              <w:spacing w:after="0" w:line="260"/>
            </w:pPr>
            <w:r>
              <w:rPr>
                <w:b w:val="false"/>
                <w:bCs w:val="false"/>
                <w:sz w:val="20"/>
                <w:szCs w:val="20"/>
              </w:rPr>
              <w:t xml:space="preserve">47</w:t>
            </w:r>
          </w:p>
        </w:tc>
        <w:tc>
          <w:tcPr>
            <w:tcW w:type="dxa" w:w="1800"/>
            <w:tcMar>
              <w:top w:type="dxa" w:w="90"/>
              <w:left w:type="dxa" w:w="130"/>
              <w:bottom w:type="dxa" w:w="90"/>
              <w:right w:type="dxa" w:w="130"/>
            </w:tcMar>
          </w:tcPr>
          <w:p>
            <w:pPr>
              <w:spacing w:after="0" w:line="260"/>
            </w:pPr>
            <w:r>
              <w:rPr>
                <w:b w:val="false"/>
                <w:bCs w:val="false"/>
                <w:sz w:val="20"/>
                <w:szCs w:val="20"/>
              </w:rPr>
              <w:t xml:space="preserve">Below 15</w:t>
            </w:r>
          </w:p>
        </w:tc>
        <w:tc>
          <w:tcPr>
            <w:tcW w:type="dxa" w:w="3060"/>
            <w:tcMar>
              <w:top w:type="dxa" w:w="90"/>
              <w:left w:type="dxa" w:w="130"/>
              <w:bottom w:type="dxa" w:w="90"/>
              <w:right w:type="dxa" w:w="130"/>
            </w:tcMar>
          </w:tcPr>
          <w:p>
            <w:pPr>
              <w:spacing w:after="0" w:line="260"/>
            </w:pPr>
            <w:r>
              <w:rPr>
                <w:b w:val="false"/>
                <w:bCs w:val="false"/>
                <w:sz w:val="20"/>
                <w:szCs w:val="20"/>
              </w:rPr>
              <w:t xml:space="preserve">30 September 2027</w:t>
            </w:r>
          </w:p>
        </w:tc>
      </w:tr>
      <w:tr>
        <w:trPr>
          <w:tblHeader w:val="false"/>
        </w:trPr>
        <w:tc>
          <w:tcPr>
            <w:tcW w:type="dxa" w:w="3000"/>
            <w:tcMar>
              <w:top w:type="dxa" w:w="90"/>
              <w:left w:type="dxa" w:w="130"/>
              <w:bottom w:type="dxa" w:w="90"/>
              <w:right w:type="dxa" w:w="130"/>
            </w:tcMar>
          </w:tcPr>
          <w:p>
            <w:pPr>
              <w:spacing w:after="0" w:line="260"/>
            </w:pPr>
            <w:r>
              <w:rPr>
                <w:b w:val="false"/>
                <w:bCs w:val="false"/>
                <w:sz w:val="20"/>
                <w:szCs w:val="20"/>
              </w:rPr>
              <w:t xml:space="preserve">Intervention completion within timescale</w:t>
            </w:r>
          </w:p>
        </w:tc>
        <w:tc>
          <w:tcPr>
            <w:tcW w:type="dxa" w:w="1500"/>
            <w:tcMar>
              <w:top w:type="dxa" w:w="90"/>
              <w:left w:type="dxa" w:w="130"/>
              <w:bottom w:type="dxa" w:w="90"/>
              <w:right w:type="dxa" w:w="130"/>
            </w:tcMar>
          </w:tcPr>
          <w:p>
            <w:pPr>
              <w:spacing w:after="0" w:line="260"/>
            </w:pPr>
            <w:r>
              <w:rPr>
                <w:b w:val="false"/>
                <w:bCs w:val="false"/>
                <w:sz w:val="20"/>
                <w:szCs w:val="20"/>
              </w:rPr>
              <w:t xml:space="preserve">n/a</w:t>
            </w:r>
          </w:p>
        </w:tc>
        <w:tc>
          <w:tcPr>
            <w:tcW w:type="dxa" w:w="1800"/>
            <w:tcMar>
              <w:top w:type="dxa" w:w="90"/>
              <w:left w:type="dxa" w:w="130"/>
              <w:bottom w:type="dxa" w:w="90"/>
              <w:right w:type="dxa" w:w="130"/>
            </w:tcMar>
          </w:tcPr>
          <w:p>
            <w:pPr>
              <w:spacing w:after="0" w:line="260"/>
            </w:pPr>
            <w:r>
              <w:rPr>
                <w:b w:val="false"/>
                <w:bCs w:val="false"/>
                <w:sz w:val="20"/>
                <w:szCs w:val="20"/>
              </w:rPr>
              <w:t xml:space="preserve">Above 90%</w:t>
            </w:r>
          </w:p>
        </w:tc>
        <w:tc>
          <w:tcPr>
            <w:tcW w:type="dxa" w:w="3060"/>
            <w:tcMar>
              <w:top w:type="dxa" w:w="90"/>
              <w:left w:type="dxa" w:w="130"/>
              <w:bottom w:type="dxa" w:w="90"/>
              <w:right w:type="dxa" w:w="130"/>
            </w:tcMar>
          </w:tcPr>
          <w:p>
            <w:pPr>
              <w:spacing w:after="0" w:line="260"/>
            </w:pPr>
            <w:r>
              <w:rPr>
                <w:b w:val="false"/>
                <w:bCs w:val="false"/>
                <w:sz w:val="20"/>
                <w:szCs w:val="20"/>
              </w:rPr>
              <w:t xml:space="preserve">31 March 2027</w:t>
            </w:r>
          </w:p>
        </w:tc>
      </w:tr>
    </w:tbl>
    <w:p>
      <w:pPr>
        <w:spacing w:after="140" w:line="276"/>
      </w:pPr>
      <w:r>
        <w:rPr>
          <w:sz w:val="22"/>
          <w:szCs w:val="22"/>
        </w:rPr>
        <w:t xml:space="preserve">Report rate is the primary measure and is reported first in every submission. Click rate is secondary and is always presented alongside the difficulty tier of the campaign that produced it. This ordering is deliberate: click rate is trivially improvable by easing the lures, and report rate is not.</w:t>
      </w:r>
    </w:p>
    <w:p>
      <w:pPr>
        <w:pStyle w:val="Heading2"/>
        <w:spacing w:after="120" w:before="240"/>
      </w:pPr>
      <w:r>
        <w:t xml:space="preserve">8.3 Reporting</w:t>
      </w:r>
    </w:p>
    <w:p>
      <w:pPr>
        <w:pStyle w:val="ListParagraph"/>
        <w:numPr>
          <w:ilvl w:val="0"/>
          <w:numId w:val="2"/>
        </w:numPr>
        <w:spacing w:after="80" w:line="276"/>
      </w:pPr>
      <w:r>
        <w:rPr>
          <w:sz w:val="22"/>
          <w:szCs w:val="22"/>
        </w:rPr>
        <w:t xml:space="preserve">Monthly to the Security Steering Group: campaign results, intervention completion, training completion by function with function heads named.</w:t>
      </w:r>
    </w:p>
    <w:p>
      <w:pPr>
        <w:pStyle w:val="ListParagraph"/>
        <w:numPr>
          <w:ilvl w:val="0"/>
          <w:numId w:val="2"/>
        </w:numPr>
        <w:spacing w:after="80" w:line="276"/>
      </w:pPr>
      <w:r>
        <w:rPr>
          <w:sz w:val="22"/>
          <w:szCs w:val="22"/>
        </w:rPr>
        <w:t xml:space="preserve">Quarterly to the Executive Risk Committee: performance against the targets above, repeat clicker trend, and any case escalated under section 7.</w:t>
      </w:r>
    </w:p>
    <w:p>
      <w:pPr>
        <w:pStyle w:val="ListParagraph"/>
        <w:numPr>
          <w:ilvl w:val="0"/>
          <w:numId w:val="2"/>
        </w:numPr>
        <w:spacing w:after="80" w:line="276"/>
      </w:pPr>
      <w:r>
        <w:rPr>
          <w:sz w:val="22"/>
          <w:szCs w:val="22"/>
        </w:rPr>
        <w:t xml:space="preserve">Annually to the Executive Risk Committee as an input to the ISMS management review under clause 9.3, including an assessment of whether the programme is achieving its objectives.</w:t>
      </w:r>
    </w:p>
    <w:p>
      <w:pPr>
        <w:pStyle w:val="ListParagraph"/>
        <w:numPr>
          <w:ilvl w:val="0"/>
          <w:numId w:val="2"/>
        </w:numPr>
        <w:spacing w:after="80" w:line="276"/>
      </w:pPr>
      <w:r>
        <w:rPr>
          <w:sz w:val="22"/>
          <w:szCs w:val="22"/>
        </w:rPr>
        <w:t xml:space="preserve">Records of individual completion and intervention are retained for three years as documented information evidencing competence and awareness under clauses 7.2 and 7.3.</w:t>
      </w:r>
    </w:p>
    <w:p>
      <w:pPr>
        <w:pStyle w:val="Heading1"/>
        <w:spacing w:after="160" w:before="320"/>
      </w:pPr>
      <w:r>
        <w:t xml:space="preserve">9. Ethical constraints on the programme</w:t>
      </w:r>
    </w:p>
    <w:p>
      <w:pPr>
        <w:spacing w:after="140" w:line="276"/>
      </w:pPr>
      <w:r>
        <w:rPr>
          <w:sz w:val="22"/>
          <w:szCs w:val="22"/>
        </w:rPr>
        <w:t xml:space="preserve">A simulation programme can damage trust faster than it builds competence, and a workforce that resents the exercise will not report real messages. The following constraints are binding and any exception requires CISO approval.</w:t>
      </w:r>
    </w:p>
    <w:p>
      <w:pPr>
        <w:pStyle w:val="ListParagraph"/>
        <w:numPr>
          <w:ilvl w:val="0"/>
          <w:numId w:val="2"/>
        </w:numPr>
        <w:spacing w:after="80" w:line="276"/>
      </w:pPr>
      <w:r>
        <w:rPr>
          <w:sz w:val="22"/>
          <w:szCs w:val="22"/>
        </w:rPr>
        <w:t xml:space="preserve">No individual is named in any communication distributed beyond their line manager, the security team and People Operations. No leaderboards, no public lists, no team-versus-team comparison at individual level.</w:t>
      </w:r>
    </w:p>
    <w:p>
      <w:pPr>
        <w:pStyle w:val="ListParagraph"/>
        <w:numPr>
          <w:ilvl w:val="0"/>
          <w:numId w:val="2"/>
        </w:numPr>
        <w:spacing w:after="80" w:line="276"/>
      </w:pPr>
      <w:r>
        <w:rPr>
          <w:sz w:val="22"/>
          <w:szCs w:val="22"/>
        </w:rPr>
        <w:t xml:space="preserve">Simulation failure alone is never grounds for disciplinary action and never appears in a performance review. Persistent refusal to complete assigned training is a policy compliance matter and is handled separately under AFT-ISMS-POL-01.</w:t>
      </w:r>
    </w:p>
    <w:p>
      <w:pPr>
        <w:pStyle w:val="ListParagraph"/>
        <w:numPr>
          <w:ilvl w:val="0"/>
          <w:numId w:val="2"/>
        </w:numPr>
        <w:spacing w:after="80" w:line="276"/>
      </w:pPr>
      <w:r>
        <w:rPr>
          <w:sz w:val="22"/>
          <w:szCs w:val="22"/>
        </w:rPr>
        <w:t xml:space="preserve">Lures must not use themes likely to cause distress or to exploit personal circumstances: bonus or salary announcements, redundancy or restructuring, bereavement, health matters, immigration or right-to-work status, or disciplinary notices.</w:t>
      </w:r>
    </w:p>
    <w:p>
      <w:pPr>
        <w:pStyle w:val="ListParagraph"/>
        <w:numPr>
          <w:ilvl w:val="0"/>
          <w:numId w:val="2"/>
        </w:numPr>
        <w:spacing w:after="80" w:line="276"/>
      </w:pPr>
      <w:r>
        <w:rPr>
          <w:sz w:val="22"/>
          <w:szCs w:val="22"/>
        </w:rPr>
        <w:t xml:space="preserve">Lures must not impersonate a named individual worker. Impersonating a generic internal function is permitted.</w:t>
      </w:r>
    </w:p>
    <w:p>
      <w:pPr>
        <w:pStyle w:val="ListParagraph"/>
        <w:numPr>
          <w:ilvl w:val="0"/>
          <w:numId w:val="2"/>
        </w:numPr>
        <w:spacing w:after="80" w:line="276"/>
      </w:pPr>
      <w:r>
        <w:rPr>
          <w:sz w:val="22"/>
          <w:szCs w:val="22"/>
        </w:rPr>
        <w:t xml:space="preserve">Workers are told at induction that simulations occur, how often, and how results are used. The programme is transparent in existence and unannounced only in timing.</w:t>
      </w:r>
    </w:p>
    <w:p>
      <w:pPr>
        <w:pStyle w:val="ListParagraph"/>
        <w:numPr>
          <w:ilvl w:val="0"/>
          <w:numId w:val="2"/>
        </w:numPr>
        <w:spacing w:after="80" w:line="276"/>
      </w:pPr>
      <w:r>
        <w:rPr>
          <w:sz w:val="22"/>
          <w:szCs w:val="22"/>
        </w:rPr>
        <w:t xml:space="preserve">The teachable moment page explains the indicators rather than admonishing the recipient. Its tone is instructional.</w:t>
      </w:r>
    </w:p>
    <w:p>
      <w:pPr>
        <w:spacing w:after="140" w:line="276"/>
      </w:pPr>
      <w:r>
        <w:rPr>
          <w:sz w:val="22"/>
          <w:szCs w:val="22"/>
        </w:rPr>
        <w:t xml:space="preserve">These constraints are consistent with the blameless approach already established for post-incident review in AFT-ISMS-POL-02 section 6.6. A worker who fears the consequence of admitting a mistake reports later, or not at all, and reporting speed is the outcome this programme exists to improve.</w:t>
      </w:r>
    </w:p>
    <w:p>
      <w:pPr>
        <w:pStyle w:val="Heading1"/>
        <w:spacing w:after="160" w:before="320"/>
      </w:pPr>
      <w:r>
        <w:t xml:space="preserve">10. Programme calendar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200"/>
        <w:gridCol w:w="4660"/>
      </w:tblGrid>
      <w:tr>
        <w:trPr>
          <w:tblHeader/>
        </w:trPr>
        <w:tc>
          <w:tcPr>
            <w:tcW w:type="dxa" w:w="1500"/>
            <w:shd w:fill="E7EAF0" w:color="auto" w:val="clear"/>
            <w:tcMar>
              <w:top w:type="dxa" w:w="90"/>
              <w:left w:type="dxa" w:w="130"/>
              <w:bottom w:type="dxa" w:w="90"/>
              <w:right w:type="dxa" w:w="130"/>
            </w:tcMar>
          </w:tcPr>
          <w:p>
            <w:pPr>
              <w:spacing w:after="0" w:line="260"/>
            </w:pPr>
            <w:r>
              <w:rPr>
                <w:b/>
                <w:bCs/>
                <w:sz w:val="20"/>
                <w:szCs w:val="20"/>
              </w:rPr>
              <w:t xml:space="preserve">Period</w:t>
            </w:r>
          </w:p>
        </w:tc>
        <w:tc>
          <w:tcPr>
            <w:tcW w:type="dxa" w:w="3200"/>
            <w:shd w:fill="E7EAF0" w:color="auto" w:val="clear"/>
            <w:tcMar>
              <w:top w:type="dxa" w:w="90"/>
              <w:left w:type="dxa" w:w="130"/>
              <w:bottom w:type="dxa" w:w="90"/>
              <w:right w:type="dxa" w:w="130"/>
            </w:tcMar>
          </w:tcPr>
          <w:p>
            <w:pPr>
              <w:spacing w:after="0" w:line="260"/>
            </w:pPr>
            <w:r>
              <w:rPr>
                <w:b/>
                <w:bCs/>
                <w:sz w:val="20"/>
                <w:szCs w:val="20"/>
              </w:rPr>
              <w:t xml:space="preserve">Activity</w:t>
            </w:r>
          </w:p>
        </w:tc>
        <w:tc>
          <w:tcPr>
            <w:tcW w:type="dxa" w:w="4660"/>
            <w:shd w:fill="E7EAF0" w:color="auto" w:val="clear"/>
            <w:tcMar>
              <w:top w:type="dxa" w:w="90"/>
              <w:left w:type="dxa" w:w="130"/>
              <w:bottom w:type="dxa" w:w="90"/>
              <w:right w:type="dxa" w:w="130"/>
            </w:tcMar>
          </w:tcPr>
          <w:p>
            <w:pPr>
              <w:spacing w:after="0" w:line="260"/>
            </w:pPr>
            <w:r>
              <w:rPr>
                <w:b/>
                <w:bCs/>
                <w:sz w:val="20"/>
                <w:szCs w:val="20"/>
              </w:rPr>
              <w:t xml:space="preserve">Notes</w:t>
            </w:r>
          </w:p>
        </w:tc>
      </w:tr>
      <w:tr>
        <w:trPr>
          <w:tblHeader w:val="false"/>
        </w:trPr>
        <w:tc>
          <w:tcPr>
            <w:tcW w:type="dxa" w:w="1500"/>
            <w:tcMar>
              <w:top w:type="dxa" w:w="90"/>
              <w:left w:type="dxa" w:w="130"/>
              <w:bottom w:type="dxa" w:w="90"/>
              <w:right w:type="dxa" w:w="130"/>
            </w:tcMar>
          </w:tcPr>
          <w:p>
            <w:pPr>
              <w:spacing w:after="0" w:line="260"/>
            </w:pPr>
            <w:r>
              <w:rPr>
                <w:b w:val="false"/>
                <w:bCs w:val="false"/>
                <w:sz w:val="20"/>
                <w:szCs w:val="20"/>
              </w:rPr>
              <w:t xml:space="preserve">October 2026</w:t>
            </w:r>
          </w:p>
        </w:tc>
        <w:tc>
          <w:tcPr>
            <w:tcW w:type="dxa" w:w="3200"/>
            <w:tcMar>
              <w:top w:type="dxa" w:w="90"/>
              <w:left w:type="dxa" w:w="130"/>
              <w:bottom w:type="dxa" w:w="90"/>
              <w:right w:type="dxa" w:w="130"/>
            </w:tcMar>
          </w:tcPr>
          <w:p>
            <w:pPr>
              <w:spacing w:after="0" w:line="260"/>
            </w:pPr>
            <w:r>
              <w:rPr>
                <w:b w:val="false"/>
                <w:bCs w:val="false"/>
                <w:sz w:val="20"/>
                <w:szCs w:val="20"/>
              </w:rPr>
              <w:t xml:space="preserve">Programme launch; security awareness month; completion recovery begins</w:t>
            </w:r>
          </w:p>
        </w:tc>
        <w:tc>
          <w:tcPr>
            <w:tcW w:type="dxa" w:w="4660"/>
            <w:tcMar>
              <w:top w:type="dxa" w:w="90"/>
              <w:left w:type="dxa" w:w="130"/>
              <w:bottom w:type="dxa" w:w="90"/>
              <w:right w:type="dxa" w:w="130"/>
            </w:tcMar>
          </w:tcPr>
          <w:p>
            <w:pPr>
              <w:spacing w:after="0" w:line="260"/>
            </w:pPr>
            <w:r>
              <w:rPr>
                <w:b w:val="false"/>
                <w:bCs w:val="false"/>
                <w:sz w:val="20"/>
                <w:szCs w:val="20"/>
              </w:rPr>
              <w:t xml:space="preserve">Repeat clicker backlog cleared</w:t>
            </w:r>
          </w:p>
        </w:tc>
      </w:tr>
      <w:tr>
        <w:trPr>
          <w:tblHeader w:val="false"/>
        </w:trPr>
        <w:tc>
          <w:tcPr>
            <w:tcW w:type="dxa" w:w="1500"/>
            <w:tcMar>
              <w:top w:type="dxa" w:w="90"/>
              <w:left w:type="dxa" w:w="130"/>
              <w:bottom w:type="dxa" w:w="90"/>
              <w:right w:type="dxa" w:w="130"/>
            </w:tcMar>
          </w:tcPr>
          <w:p>
            <w:pPr>
              <w:spacing w:after="0" w:line="260"/>
            </w:pPr>
            <w:r>
              <w:rPr>
                <w:b w:val="false"/>
                <w:bCs w:val="false"/>
                <w:sz w:val="20"/>
                <w:szCs w:val="20"/>
              </w:rPr>
              <w:t xml:space="preserve">November 2026</w:t>
            </w:r>
          </w:p>
        </w:tc>
        <w:tc>
          <w:tcPr>
            <w:tcW w:type="dxa" w:w="3200"/>
            <w:tcMar>
              <w:top w:type="dxa" w:w="90"/>
              <w:left w:type="dxa" w:w="130"/>
              <w:bottom w:type="dxa" w:w="90"/>
              <w:right w:type="dxa" w:w="130"/>
            </w:tcMar>
          </w:tcPr>
          <w:p>
            <w:pPr>
              <w:spacing w:after="0" w:line="260"/>
            </w:pPr>
            <w:r>
              <w:rPr>
                <w:b w:val="false"/>
                <w:bCs w:val="false"/>
                <w:sz w:val="20"/>
                <w:szCs w:val="20"/>
              </w:rPr>
              <w:t xml:space="preserve">Sales role-based module delivered</w:t>
            </w:r>
          </w:p>
        </w:tc>
        <w:tc>
          <w:tcPr>
            <w:tcW w:type="dxa" w:w="4660"/>
            <w:tcMar>
              <w:top w:type="dxa" w:w="90"/>
              <w:left w:type="dxa" w:w="130"/>
              <w:bottom w:type="dxa" w:w="90"/>
              <w:right w:type="dxa" w:w="130"/>
            </w:tcMar>
          </w:tcPr>
          <w:p>
            <w:pPr>
              <w:spacing w:after="0" w:line="260"/>
            </w:pPr>
            <w:r>
              <w:rPr>
                <w:b w:val="false"/>
                <w:bCs w:val="false"/>
                <w:sz w:val="20"/>
                <w:szCs w:val="20"/>
              </w:rPr>
              <w:t xml:space="preserve">Highest-risk function first</w:t>
            </w:r>
          </w:p>
        </w:tc>
      </w:tr>
      <w:tr>
        <w:trPr>
          <w:tblHeader w:val="false"/>
        </w:trPr>
        <w:tc>
          <w:tcPr>
            <w:tcW w:type="dxa" w:w="1500"/>
            <w:tcMar>
              <w:top w:type="dxa" w:w="90"/>
              <w:left w:type="dxa" w:w="130"/>
              <w:bottom w:type="dxa" w:w="90"/>
              <w:right w:type="dxa" w:w="130"/>
            </w:tcMar>
          </w:tcPr>
          <w:p>
            <w:pPr>
              <w:spacing w:after="0" w:line="260"/>
            </w:pPr>
            <w:r>
              <w:rPr>
                <w:b w:val="false"/>
                <w:bCs w:val="false"/>
                <w:sz w:val="20"/>
                <w:szCs w:val="20"/>
              </w:rPr>
              <w:t xml:space="preserve">December 2026</w:t>
            </w:r>
          </w:p>
        </w:tc>
        <w:tc>
          <w:tcPr>
            <w:tcW w:type="dxa" w:w="3200"/>
            <w:tcMar>
              <w:top w:type="dxa" w:w="90"/>
              <w:left w:type="dxa" w:w="130"/>
              <w:bottom w:type="dxa" w:w="90"/>
              <w:right w:type="dxa" w:w="130"/>
            </w:tcMar>
          </w:tcPr>
          <w:p>
            <w:pPr>
              <w:spacing w:after="0" w:line="260"/>
            </w:pPr>
            <w:r>
              <w:rPr>
                <w:b w:val="false"/>
                <w:bCs w:val="false"/>
                <w:sz w:val="20"/>
                <w:szCs w:val="20"/>
              </w:rPr>
              <w:t xml:space="preserve">Q4 simulation, Tier 2, mixed channel; completion target date</w:t>
            </w:r>
          </w:p>
        </w:tc>
        <w:tc>
          <w:tcPr>
            <w:tcW w:type="dxa" w:w="4660"/>
            <w:tcMar>
              <w:top w:type="dxa" w:w="90"/>
              <w:left w:type="dxa" w:w="130"/>
              <w:bottom w:type="dxa" w:w="90"/>
              <w:right w:type="dxa" w:w="130"/>
            </w:tcMar>
          </w:tcPr>
          <w:p>
            <w:pPr>
              <w:spacing w:after="0" w:line="260"/>
            </w:pPr>
            <w:r>
              <w:rPr>
                <w:b w:val="false"/>
                <w:bCs w:val="false"/>
                <w:sz w:val="20"/>
                <w:szCs w:val="20"/>
              </w:rPr>
              <w:t xml:space="preserve">Above 98% completion</w:t>
            </w:r>
          </w:p>
        </w:tc>
      </w:tr>
      <w:tr>
        <w:trPr>
          <w:tblHeader w:val="false"/>
        </w:trPr>
        <w:tc>
          <w:tcPr>
            <w:tcW w:type="dxa" w:w="1500"/>
            <w:tcMar>
              <w:top w:type="dxa" w:w="90"/>
              <w:left w:type="dxa" w:w="130"/>
              <w:bottom w:type="dxa" w:w="90"/>
              <w:right w:type="dxa" w:w="130"/>
            </w:tcMar>
          </w:tcPr>
          <w:p>
            <w:pPr>
              <w:spacing w:after="0" w:line="260"/>
            </w:pPr>
            <w:r>
              <w:rPr>
                <w:b w:val="false"/>
                <w:bCs w:val="false"/>
                <w:sz w:val="20"/>
                <w:szCs w:val="20"/>
              </w:rPr>
              <w:t xml:space="preserve">Q1 2027</w:t>
            </w:r>
          </w:p>
        </w:tc>
        <w:tc>
          <w:tcPr>
            <w:tcW w:type="dxa" w:w="3200"/>
            <w:tcMar>
              <w:top w:type="dxa" w:w="90"/>
              <w:left w:type="dxa" w:w="130"/>
              <w:bottom w:type="dxa" w:w="90"/>
              <w:right w:type="dxa" w:w="130"/>
            </w:tcMar>
          </w:tcPr>
          <w:p>
            <w:pPr>
              <w:spacing w:after="0" w:line="260"/>
            </w:pPr>
            <w:r>
              <w:rPr>
                <w:b w:val="false"/>
                <w:bCs w:val="false"/>
                <w:sz w:val="20"/>
                <w:szCs w:val="20"/>
              </w:rPr>
              <w:t xml:space="preserve">Remaining role-based modules; Q1 simulation, Tier 3 for Restricted-data functions</w:t>
            </w:r>
          </w:p>
        </w:tc>
        <w:tc>
          <w:tcPr>
            <w:tcW w:type="dxa" w:w="4660"/>
            <w:tcMar>
              <w:top w:type="dxa" w:w="90"/>
              <w:left w:type="dxa" w:w="130"/>
              <w:bottom w:type="dxa" w:w="90"/>
              <w:right w:type="dxa" w:w="130"/>
            </w:tcMar>
          </w:tcPr>
          <w:p>
            <w:pPr>
              <w:spacing w:after="0" w:line="260"/>
            </w:pPr>
            <w:r>
              <w:rPr>
                <w:b w:val="false"/>
                <w:bCs w:val="false"/>
                <w:sz w:val="20"/>
                <w:szCs w:val="20"/>
              </w:rPr>
              <w:t xml:space="preserve">First campaign with full intervention operating</w:t>
            </w:r>
          </w:p>
        </w:tc>
      </w:tr>
      <w:tr>
        <w:trPr>
          <w:tblHeader w:val="false"/>
        </w:trPr>
        <w:tc>
          <w:tcPr>
            <w:tcW w:type="dxa" w:w="1500"/>
            <w:tcMar>
              <w:top w:type="dxa" w:w="90"/>
              <w:left w:type="dxa" w:w="130"/>
              <w:bottom w:type="dxa" w:w="90"/>
              <w:right w:type="dxa" w:w="130"/>
            </w:tcMar>
          </w:tcPr>
          <w:p>
            <w:pPr>
              <w:spacing w:after="0" w:line="260"/>
            </w:pPr>
            <w:r>
              <w:rPr>
                <w:b w:val="false"/>
                <w:bCs w:val="false"/>
                <w:sz w:val="20"/>
                <w:szCs w:val="20"/>
              </w:rPr>
              <w:t xml:space="preserve">Q2 2027</w:t>
            </w:r>
          </w:p>
        </w:tc>
        <w:tc>
          <w:tcPr>
            <w:tcW w:type="dxa" w:w="3200"/>
            <w:tcMar>
              <w:top w:type="dxa" w:w="90"/>
              <w:left w:type="dxa" w:w="130"/>
              <w:bottom w:type="dxa" w:w="90"/>
              <w:right w:type="dxa" w:w="130"/>
            </w:tcMar>
          </w:tcPr>
          <w:p>
            <w:pPr>
              <w:spacing w:after="0" w:line="260"/>
            </w:pPr>
            <w:r>
              <w:rPr>
                <w:b w:val="false"/>
                <w:bCs w:val="false"/>
                <w:sz w:val="20"/>
                <w:szCs w:val="20"/>
              </w:rPr>
              <w:t xml:space="preserve">Q2 simulation, Tier 2; manager module; executive briefing and tabletop</w:t>
            </w:r>
          </w:p>
        </w:tc>
        <w:tc>
          <w:tcPr>
            <w:tcW w:type="dxa" w:w="4660"/>
            <w:tcMar>
              <w:top w:type="dxa" w:w="90"/>
              <w:left w:type="dxa" w:w="130"/>
              <w:bottom w:type="dxa" w:w="90"/>
              <w:right w:type="dxa" w:w="130"/>
            </w:tcMar>
          </w:tcPr>
          <w:p>
            <w:pPr>
              <w:spacing w:after="0" w:line="260"/>
            </w:pPr>
            <w:r>
              <w:rPr>
                <w:b w:val="false"/>
                <w:bCs w:val="false"/>
                <w:sz w:val="20"/>
                <w:szCs w:val="20"/>
              </w:rPr>
              <w:t xml:space="preserve">Mid-year target review</w:t>
            </w:r>
          </w:p>
        </w:tc>
      </w:tr>
      <w:tr>
        <w:trPr>
          <w:tblHeader w:val="false"/>
        </w:trPr>
        <w:tc>
          <w:tcPr>
            <w:tcW w:type="dxa" w:w="1500"/>
            <w:tcMar>
              <w:top w:type="dxa" w:w="90"/>
              <w:left w:type="dxa" w:w="130"/>
              <w:bottom w:type="dxa" w:w="90"/>
              <w:right w:type="dxa" w:w="130"/>
            </w:tcMar>
          </w:tcPr>
          <w:p>
            <w:pPr>
              <w:spacing w:after="0" w:line="260"/>
            </w:pPr>
            <w:r>
              <w:rPr>
                <w:b w:val="false"/>
                <w:bCs w:val="false"/>
                <w:sz w:val="20"/>
                <w:szCs w:val="20"/>
              </w:rPr>
              <w:t xml:space="preserve">Q3 2027</w:t>
            </w:r>
          </w:p>
        </w:tc>
        <w:tc>
          <w:tcPr>
            <w:tcW w:type="dxa" w:w="3200"/>
            <w:tcMar>
              <w:top w:type="dxa" w:w="90"/>
              <w:left w:type="dxa" w:w="130"/>
              <w:bottom w:type="dxa" w:w="90"/>
              <w:right w:type="dxa" w:w="130"/>
            </w:tcMar>
          </w:tcPr>
          <w:p>
            <w:pPr>
              <w:spacing w:after="0" w:line="260"/>
            </w:pPr>
            <w:r>
              <w:rPr>
                <w:b w:val="false"/>
                <w:bCs w:val="false"/>
                <w:sz w:val="20"/>
                <w:szCs w:val="20"/>
              </w:rPr>
              <w:t xml:space="preserve">Q3 simulation, Tier 3; core annual training rolling window continues</w:t>
            </w:r>
          </w:p>
        </w:tc>
        <w:tc>
          <w:tcPr>
            <w:tcW w:type="dxa" w:w="4660"/>
            <w:tcMar>
              <w:top w:type="dxa" w:w="90"/>
              <w:left w:type="dxa" w:w="130"/>
              <w:bottom w:type="dxa" w:w="90"/>
              <w:right w:type="dxa" w:w="130"/>
            </w:tcMar>
          </w:tcPr>
          <w:p>
            <w:pPr>
              <w:spacing w:after="0" w:line="260"/>
            </w:pPr>
            <w:r>
              <w:rPr>
                <w:b w:val="false"/>
                <w:bCs w:val="false"/>
                <w:sz w:val="20"/>
                <w:szCs w:val="20"/>
              </w:rPr>
              <w:t xml:space="preserve">Targets assessed at 30 September</w:t>
            </w:r>
          </w:p>
        </w:tc>
      </w:tr>
      <w:tr>
        <w:trPr>
          <w:tblHeader w:val="false"/>
        </w:trPr>
        <w:tc>
          <w:tcPr>
            <w:tcW w:type="dxa" w:w="1500"/>
            <w:tcMar>
              <w:top w:type="dxa" w:w="90"/>
              <w:left w:type="dxa" w:w="130"/>
              <w:bottom w:type="dxa" w:w="90"/>
              <w:right w:type="dxa" w:w="130"/>
            </w:tcMar>
          </w:tcPr>
          <w:p>
            <w:pPr>
              <w:spacing w:after="0" w:line="260"/>
            </w:pPr>
            <w:r>
              <w:rPr>
                <w:b w:val="false"/>
                <w:bCs w:val="false"/>
                <w:sz w:val="20"/>
                <w:szCs w:val="20"/>
              </w:rPr>
              <w:t xml:space="preserve">October 2027</w:t>
            </w:r>
          </w:p>
        </w:tc>
        <w:tc>
          <w:tcPr>
            <w:tcW w:type="dxa" w:w="3200"/>
            <w:tcMar>
              <w:top w:type="dxa" w:w="90"/>
              <w:left w:type="dxa" w:w="130"/>
              <w:bottom w:type="dxa" w:w="90"/>
              <w:right w:type="dxa" w:w="130"/>
            </w:tcMar>
          </w:tcPr>
          <w:p>
            <w:pPr>
              <w:spacing w:after="0" w:line="260"/>
            </w:pPr>
            <w:r>
              <w:rPr>
                <w:b w:val="false"/>
                <w:bCs w:val="false"/>
                <w:sz w:val="20"/>
                <w:szCs w:val="20"/>
              </w:rPr>
              <w:t xml:space="preserve">Annual programme review; input to ISMS management review</w:t>
            </w:r>
          </w:p>
        </w:tc>
        <w:tc>
          <w:tcPr>
            <w:tcW w:type="dxa" w:w="4660"/>
            <w:tcMar>
              <w:top w:type="dxa" w:w="90"/>
              <w:left w:type="dxa" w:w="130"/>
              <w:bottom w:type="dxa" w:w="90"/>
              <w:right w:type="dxa" w:w="130"/>
            </w:tcMar>
          </w:tcPr>
          <w:p>
            <w:pPr>
              <w:spacing w:after="0" w:line="260"/>
            </w:pPr>
            <w:r>
              <w:rPr>
                <w:b w:val="false"/>
                <w:bCs w:val="false"/>
                <w:sz w:val="20"/>
                <w:szCs w:val="20"/>
              </w:rPr>
              <w:t xml:space="preserve">Effectiveness assessment under clause 9.3</w:t>
            </w:r>
          </w:p>
        </w:tc>
      </w:tr>
    </w:tbl>
    <w:p>
      <w:pPr>
        <w:pStyle w:val="Heading1"/>
        <w:spacing w:after="160" w:before="320"/>
      </w:pPr>
      <w:r>
        <w:t xml:space="preserve">11. Measures beyond phishing</w:t>
      </w:r>
    </w:p>
    <w:p>
      <w:pPr>
        <w:spacing w:after="140" w:line="276"/>
      </w:pPr>
      <w:r>
        <w:rPr>
          <w:sz w:val="22"/>
          <w:szCs w:val="22"/>
        </w:rPr>
        <w:t xml:space="preserve">A programme measured only by simulation results trains a workforce to recognise simulations. The following measures are reported alongside the phishing metrics from Q1 2027, so that the programme is assessed against behaviour in the working environment rather than behaviour in the exercise.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2400"/>
        <w:gridCol w:w="4060"/>
      </w:tblGrid>
      <w:tr>
        <w:trPr>
          <w:tblHeader/>
        </w:trPr>
        <w:tc>
          <w:tcPr>
            <w:tcW w:type="dxa" w:w="2900"/>
            <w:shd w:fill="E7EAF0" w:color="auto" w:val="clear"/>
            <w:tcMar>
              <w:top w:type="dxa" w:w="90"/>
              <w:left w:type="dxa" w:w="130"/>
              <w:bottom w:type="dxa" w:w="90"/>
              <w:right w:type="dxa" w:w="130"/>
            </w:tcMar>
          </w:tcPr>
          <w:p>
            <w:pPr>
              <w:spacing w:after="0" w:line="260"/>
            </w:pPr>
            <w:r>
              <w:rPr>
                <w:b/>
                <w:bCs/>
                <w:sz w:val="20"/>
                <w:szCs w:val="20"/>
              </w:rPr>
              <w:t xml:space="preserve">Measure</w:t>
            </w:r>
          </w:p>
        </w:tc>
        <w:tc>
          <w:tcPr>
            <w:tcW w:type="dxa" w:w="2400"/>
            <w:shd w:fill="E7EAF0" w:color="auto" w:val="clear"/>
            <w:tcMar>
              <w:top w:type="dxa" w:w="90"/>
              <w:left w:type="dxa" w:w="130"/>
              <w:bottom w:type="dxa" w:w="90"/>
              <w:right w:type="dxa" w:w="130"/>
            </w:tcMar>
          </w:tcPr>
          <w:p>
            <w:pPr>
              <w:spacing w:after="0" w:line="260"/>
            </w:pPr>
            <w:r>
              <w:rPr>
                <w:b/>
                <w:bCs/>
                <w:sz w:val="20"/>
                <w:szCs w:val="20"/>
              </w:rPr>
              <w:t xml:space="preserve">Source</w:t>
            </w:r>
          </w:p>
        </w:tc>
        <w:tc>
          <w:tcPr>
            <w:tcW w:type="dxa" w:w="4060"/>
            <w:shd w:fill="E7EAF0" w:color="auto" w:val="clear"/>
            <w:tcMar>
              <w:top w:type="dxa" w:w="90"/>
              <w:left w:type="dxa" w:w="130"/>
              <w:bottom w:type="dxa" w:w="90"/>
              <w:right w:type="dxa" w:w="130"/>
            </w:tcMar>
          </w:tcPr>
          <w:p>
            <w:pPr>
              <w:spacing w:after="0" w:line="260"/>
            </w:pPr>
            <w:r>
              <w:rPr>
                <w:b/>
                <w:bCs/>
                <w:sz w:val="20"/>
                <w:szCs w:val="20"/>
              </w:rPr>
              <w:t xml:space="preserve">What it tells us</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Knowledge assessment score</w:t>
            </w:r>
          </w:p>
        </w:tc>
        <w:tc>
          <w:tcPr>
            <w:tcW w:type="dxa" w:w="2400"/>
            <w:tcMar>
              <w:top w:type="dxa" w:w="90"/>
              <w:left w:type="dxa" w:w="130"/>
              <w:bottom w:type="dxa" w:w="90"/>
              <w:right w:type="dxa" w:w="130"/>
            </w:tcMar>
          </w:tcPr>
          <w:p>
            <w:pPr>
              <w:spacing w:after="0" w:line="260"/>
            </w:pPr>
            <w:r>
              <w:rPr>
                <w:b w:val="false"/>
                <w:bCs w:val="false"/>
                <w:sz w:val="20"/>
                <w:szCs w:val="20"/>
              </w:rPr>
              <w:t xml:space="preserve">Post-training assessment, core and role-based modules</w:t>
            </w:r>
          </w:p>
        </w:tc>
        <w:tc>
          <w:tcPr>
            <w:tcW w:type="dxa" w:w="4060"/>
            <w:tcMar>
              <w:top w:type="dxa" w:w="90"/>
              <w:left w:type="dxa" w:w="130"/>
              <w:bottom w:type="dxa" w:w="90"/>
              <w:right w:type="dxa" w:w="130"/>
            </w:tcMar>
          </w:tcPr>
          <w:p>
            <w:pPr>
              <w:spacing w:after="0" w:line="260"/>
            </w:pPr>
            <w:r>
              <w:rPr>
                <w:b w:val="false"/>
                <w:bCs w:val="false"/>
                <w:sz w:val="20"/>
                <w:szCs w:val="20"/>
              </w:rPr>
              <w:t xml:space="preserve">Whether the content was understood, as distinct from completed. A pass threshold of 80% applies, with one re-sit.</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Data loss prevention violations per 100 workers</w:t>
            </w:r>
          </w:p>
        </w:tc>
        <w:tc>
          <w:tcPr>
            <w:tcW w:type="dxa" w:w="2400"/>
            <w:tcMar>
              <w:top w:type="dxa" w:w="90"/>
              <w:left w:type="dxa" w:w="130"/>
              <w:bottom w:type="dxa" w:w="90"/>
              <w:right w:type="dxa" w:w="130"/>
            </w:tcMar>
          </w:tcPr>
          <w:p>
            <w:pPr>
              <w:spacing w:after="0" w:line="260"/>
            </w:pPr>
            <w:r>
              <w:rPr>
                <w:b w:val="false"/>
                <w:bCs w:val="false"/>
                <w:sz w:val="20"/>
                <w:szCs w:val="20"/>
              </w:rPr>
              <w:t xml:space="preserve">Google Workspace DLP telemetry</w:t>
            </w:r>
          </w:p>
        </w:tc>
        <w:tc>
          <w:tcPr>
            <w:tcW w:type="dxa" w:w="4060"/>
            <w:tcMar>
              <w:top w:type="dxa" w:w="90"/>
              <w:left w:type="dxa" w:w="130"/>
              <w:bottom w:type="dxa" w:w="90"/>
              <w:right w:type="dxa" w:w="130"/>
            </w:tcMar>
          </w:tcPr>
          <w:p>
            <w:pPr>
              <w:spacing w:after="0" w:line="260"/>
            </w:pPr>
            <w:r>
              <w:rPr>
                <w:b w:val="false"/>
                <w:bCs w:val="false"/>
                <w:sz w:val="20"/>
                <w:szCs w:val="20"/>
              </w:rPr>
              <w:t xml:space="preserve">Whether handling behaviour changes. Segmented by function so that it can be read against the same functional cuts as the simulation data.</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Unsanctioned application adoption</w:t>
            </w:r>
          </w:p>
        </w:tc>
        <w:tc>
          <w:tcPr>
            <w:tcW w:type="dxa" w:w="2400"/>
            <w:tcMar>
              <w:top w:type="dxa" w:w="90"/>
              <w:left w:type="dxa" w:w="130"/>
              <w:bottom w:type="dxa" w:w="90"/>
              <w:right w:type="dxa" w:w="130"/>
            </w:tcMar>
          </w:tcPr>
          <w:p>
            <w:pPr>
              <w:spacing w:after="0" w:line="260"/>
            </w:pPr>
            <w:r>
              <w:rPr>
                <w:b w:val="false"/>
                <w:bCs w:val="false"/>
                <w:sz w:val="20"/>
                <w:szCs w:val="20"/>
              </w:rPr>
              <w:t xml:space="preserve">CASB discovery, monthly</w:t>
            </w:r>
          </w:p>
        </w:tc>
        <w:tc>
          <w:tcPr>
            <w:tcW w:type="dxa" w:w="4060"/>
            <w:tcMar>
              <w:top w:type="dxa" w:w="90"/>
              <w:left w:type="dxa" w:w="130"/>
              <w:bottom w:type="dxa" w:w="90"/>
              <w:right w:type="dxa" w:w="130"/>
            </w:tcMar>
          </w:tcPr>
          <w:p>
            <w:pPr>
              <w:spacing w:after="0" w:line="260"/>
            </w:pPr>
            <w:r>
              <w:rPr>
                <w:b w:val="false"/>
                <w:bCs w:val="false"/>
                <w:sz w:val="20"/>
                <w:szCs w:val="20"/>
              </w:rPr>
              <w:t xml:space="preserve">Directly tests whether the Sales and Product modules on procurement are changing behaviour. Baseline is the approximately 40 applications identified in August 2026.</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Clear desk and clear screen findings</w:t>
            </w:r>
          </w:p>
        </w:tc>
        <w:tc>
          <w:tcPr>
            <w:tcW w:type="dxa" w:w="2400"/>
            <w:tcMar>
              <w:top w:type="dxa" w:w="90"/>
              <w:left w:type="dxa" w:w="130"/>
              <w:bottom w:type="dxa" w:w="90"/>
              <w:right w:type="dxa" w:w="130"/>
            </w:tcMar>
          </w:tcPr>
          <w:p>
            <w:pPr>
              <w:spacing w:after="0" w:line="260"/>
            </w:pPr>
            <w:r>
              <w:rPr>
                <w:b w:val="false"/>
                <w:bCs w:val="false"/>
                <w:sz w:val="20"/>
                <w:szCs w:val="20"/>
              </w:rPr>
              <w:t xml:space="preserve">Quarterly walkthrough, both sites</w:t>
            </w:r>
          </w:p>
        </w:tc>
        <w:tc>
          <w:tcPr>
            <w:tcW w:type="dxa" w:w="4060"/>
            <w:tcMar>
              <w:top w:type="dxa" w:w="90"/>
              <w:left w:type="dxa" w:w="130"/>
              <w:bottom w:type="dxa" w:w="90"/>
              <w:right w:type="dxa" w:w="130"/>
            </w:tcMar>
          </w:tcPr>
          <w:p>
            <w:pPr>
              <w:spacing w:after="0" w:line="260"/>
            </w:pPr>
            <w:r>
              <w:rPr>
                <w:b w:val="false"/>
                <w:bCs w:val="false"/>
                <w:sz w:val="20"/>
                <w:szCs w:val="20"/>
              </w:rPr>
              <w:t xml:space="preserve">The only physical measure in the programme. Currently unmeasured entirely.</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Secure sharing adoption</w:t>
            </w:r>
          </w:p>
        </w:tc>
        <w:tc>
          <w:tcPr>
            <w:tcW w:type="dxa" w:w="2400"/>
            <w:tcMar>
              <w:top w:type="dxa" w:w="90"/>
              <w:left w:type="dxa" w:w="130"/>
              <w:bottom w:type="dxa" w:w="90"/>
              <w:right w:type="dxa" w:w="130"/>
            </w:tcMar>
          </w:tcPr>
          <w:p>
            <w:pPr>
              <w:spacing w:after="0" w:line="260"/>
            </w:pPr>
            <w:r>
              <w:rPr>
                <w:b w:val="false"/>
                <w:bCs w:val="false"/>
                <w:sz w:val="20"/>
                <w:szCs w:val="20"/>
              </w:rPr>
              <w:t xml:space="preserve">Managed link versus open link ratio</w:t>
            </w:r>
          </w:p>
        </w:tc>
        <w:tc>
          <w:tcPr>
            <w:tcW w:type="dxa" w:w="4060"/>
            <w:tcMar>
              <w:top w:type="dxa" w:w="90"/>
              <w:left w:type="dxa" w:w="130"/>
              <w:bottom w:type="dxa" w:w="90"/>
              <w:right w:type="dxa" w:w="130"/>
            </w:tcMar>
          </w:tcPr>
          <w:p>
            <w:pPr>
              <w:spacing w:after="0" w:line="260"/>
            </w:pPr>
            <w:r>
              <w:rPr>
                <w:b w:val="false"/>
                <w:bCs w:val="false"/>
                <w:sz w:val="20"/>
                <w:szCs w:val="20"/>
              </w:rPr>
              <w:t xml:space="preserve">Whether workers use the approved route when it is less convenient than the unapproved one.</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Incident reports originating from workers</w:t>
            </w:r>
          </w:p>
        </w:tc>
        <w:tc>
          <w:tcPr>
            <w:tcW w:type="dxa" w:w="2400"/>
            <w:tcMar>
              <w:top w:type="dxa" w:w="90"/>
              <w:left w:type="dxa" w:w="130"/>
              <w:bottom w:type="dxa" w:w="90"/>
              <w:right w:type="dxa" w:w="130"/>
            </w:tcMar>
          </w:tcPr>
          <w:p>
            <w:pPr>
              <w:spacing w:after="0" w:line="260"/>
            </w:pPr>
            <w:r>
              <w:rPr>
                <w:b w:val="false"/>
                <w:bCs w:val="false"/>
                <w:sz w:val="20"/>
                <w:szCs w:val="20"/>
              </w:rPr>
              <w:t xml:space="preserve">Service portal and hotline</w:t>
            </w:r>
          </w:p>
        </w:tc>
        <w:tc>
          <w:tcPr>
            <w:tcW w:type="dxa" w:w="4060"/>
            <w:tcMar>
              <w:top w:type="dxa" w:w="90"/>
              <w:left w:type="dxa" w:w="130"/>
              <w:bottom w:type="dxa" w:w="90"/>
              <w:right w:type="dxa" w:w="130"/>
            </w:tcMar>
          </w:tcPr>
          <w:p>
            <w:pPr>
              <w:spacing w:after="0" w:line="260"/>
            </w:pPr>
            <w:r>
              <w:rPr>
                <w:b w:val="false"/>
                <w:bCs w:val="false"/>
                <w:sz w:val="20"/>
                <w:szCs w:val="20"/>
              </w:rPr>
              <w:t xml:space="preserve">The outcome measure that matters most. A programme working well produces more reports of real events, not fewer.</w:t>
            </w:r>
          </w:p>
        </w:tc>
      </w:tr>
      <w:tr>
        <w:trPr>
          <w:tblHeader w:val="false"/>
        </w:trPr>
        <w:tc>
          <w:tcPr>
            <w:tcW w:type="dxa" w:w="2900"/>
            <w:tcMar>
              <w:top w:type="dxa" w:w="90"/>
              <w:left w:type="dxa" w:w="130"/>
              <w:bottom w:type="dxa" w:w="90"/>
              <w:right w:type="dxa" w:w="130"/>
            </w:tcMar>
          </w:tcPr>
          <w:p>
            <w:pPr>
              <w:spacing w:after="0" w:line="260"/>
            </w:pPr>
            <w:r>
              <w:rPr>
                <w:b w:val="false"/>
                <w:bCs w:val="false"/>
                <w:sz w:val="20"/>
                <w:szCs w:val="20"/>
              </w:rPr>
              <w:t xml:space="preserve">Voluntary reporting of own error</w:t>
            </w:r>
          </w:p>
        </w:tc>
        <w:tc>
          <w:tcPr>
            <w:tcW w:type="dxa" w:w="2400"/>
            <w:tcMar>
              <w:top w:type="dxa" w:w="90"/>
              <w:left w:type="dxa" w:w="130"/>
              <w:bottom w:type="dxa" w:w="90"/>
              <w:right w:type="dxa" w:w="130"/>
            </w:tcMar>
          </w:tcPr>
          <w:p>
            <w:pPr>
              <w:spacing w:after="0" w:line="260"/>
            </w:pPr>
            <w:r>
              <w:rPr>
                <w:b w:val="false"/>
                <w:bCs w:val="false"/>
                <w:sz w:val="20"/>
                <w:szCs w:val="20"/>
              </w:rPr>
              <w:t xml:space="preserve">Incident records, self-reported</w:t>
            </w:r>
          </w:p>
        </w:tc>
        <w:tc>
          <w:tcPr>
            <w:tcW w:type="dxa" w:w="4060"/>
            <w:tcMar>
              <w:top w:type="dxa" w:w="90"/>
              <w:left w:type="dxa" w:w="130"/>
              <w:bottom w:type="dxa" w:w="90"/>
              <w:right w:type="dxa" w:w="130"/>
            </w:tcMar>
          </w:tcPr>
          <w:p>
            <w:pPr>
              <w:spacing w:after="0" w:line="260"/>
            </w:pPr>
            <w:r>
              <w:rPr>
                <w:b w:val="false"/>
                <w:bCs w:val="false"/>
                <w:sz w:val="20"/>
                <w:szCs w:val="20"/>
              </w:rPr>
              <w:t xml:space="preserve">A direct test of whether the ethical constraints at section 9 are working. If this number is zero, the culture is punitive whatever the policy says.</w:t>
            </w:r>
          </w:p>
        </w:tc>
      </w:tr>
    </w:tbl>
    <w:p>
      <w:pPr>
        <w:spacing w:after="140" w:line="276"/>
      </w:pPr>
      <w:r>
        <w:rPr>
          <w:sz w:val="22"/>
          <w:szCs w:val="22"/>
        </w:rPr>
        <w:t xml:space="preserve">The last of these deserves comment. A workforce that reports its own mistakes is worth more than a workforce with a low click rate, because real incidents are discovered by people admitting something went wrong. If self-reported error stays at zero while simulation metrics improve, the programme is producing compliance rather than candour and should be reviewed on that basis.</w:t>
      </w:r>
    </w:p>
    <w:p>
      <w:pPr>
        <w:pStyle w:val="Heading1"/>
        <w:spacing w:after="160" w:before="320"/>
      </w:pPr>
      <w:r>
        <w:t xml:space="preserve">12. Resourcing and budget</w:t>
      </w:r>
    </w:p>
    <w:p>
      <w:pPr>
        <w:spacing w:after="140" w:line="276"/>
      </w:pPr>
      <w:r>
        <w:rPr>
          <w:sz w:val="22"/>
          <w:szCs w:val="22"/>
        </w:rPr>
        <w:t xml:space="preserve">The programme requires resource that does not currently exist. Version 1.0 of this document was drafted without it and would not have been deliverable.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1700"/>
        <w:gridCol w:w="4260"/>
      </w:tblGrid>
      <w:tr>
        <w:trPr>
          <w:tblHeader/>
        </w:trPr>
        <w:tc>
          <w:tcPr>
            <w:tcW w:type="dxa" w:w="3400"/>
            <w:shd w:fill="E7EAF0" w:color="auto" w:val="clear"/>
            <w:tcMar>
              <w:top w:type="dxa" w:w="90"/>
              <w:left w:type="dxa" w:w="130"/>
              <w:bottom w:type="dxa" w:w="90"/>
              <w:right w:type="dxa" w:w="130"/>
            </w:tcMar>
          </w:tcPr>
          <w:p>
            <w:pPr>
              <w:spacing w:after="0" w:line="260"/>
            </w:pPr>
            <w:r>
              <w:rPr>
                <w:b/>
                <w:bCs/>
                <w:sz w:val="20"/>
                <w:szCs w:val="20"/>
              </w:rPr>
              <w:t xml:space="preserve">Item</w:t>
            </w:r>
          </w:p>
        </w:tc>
        <w:tc>
          <w:tcPr>
            <w:tcW w:type="dxa" w:w="1700"/>
            <w:shd w:fill="E7EAF0" w:color="auto" w:val="clear"/>
            <w:tcMar>
              <w:top w:type="dxa" w:w="90"/>
              <w:left w:type="dxa" w:w="130"/>
              <w:bottom w:type="dxa" w:w="90"/>
              <w:right w:type="dxa" w:w="130"/>
            </w:tcMar>
          </w:tcPr>
          <w:p>
            <w:pPr>
              <w:spacing w:after="0" w:line="260"/>
            </w:pPr>
            <w:r>
              <w:rPr>
                <w:b/>
                <w:bCs/>
                <w:sz w:val="20"/>
                <w:szCs w:val="20"/>
              </w:rPr>
              <w:t xml:space="preserve">Estimate</w:t>
            </w:r>
          </w:p>
        </w:tc>
        <w:tc>
          <w:tcPr>
            <w:tcW w:type="dxa" w:w="4260"/>
            <w:shd w:fill="E7EAF0" w:color="auto" w:val="clear"/>
            <w:tcMar>
              <w:top w:type="dxa" w:w="90"/>
              <w:left w:type="dxa" w:w="130"/>
              <w:bottom w:type="dxa" w:w="90"/>
              <w:right w:type="dxa" w:w="130"/>
            </w:tcMar>
          </w:tcPr>
          <w:p>
            <w:pPr>
              <w:spacing w:after="0" w:line="260"/>
            </w:pPr>
            <w:r>
              <w:rPr>
                <w:b/>
                <w:bCs/>
                <w:sz w:val="20"/>
                <w:szCs w:val="20"/>
              </w:rPr>
              <w:t xml:space="preserve">Basis</w:t>
            </w:r>
          </w:p>
        </w:tc>
      </w:tr>
      <w:tr>
        <w:trPr>
          <w:tblHeader w:val="false"/>
        </w:trPr>
        <w:tc>
          <w:tcPr>
            <w:tcW w:type="dxa" w:w="3400"/>
            <w:tcMar>
              <w:top w:type="dxa" w:w="90"/>
              <w:left w:type="dxa" w:w="130"/>
              <w:bottom w:type="dxa" w:w="90"/>
              <w:right w:type="dxa" w:w="130"/>
            </w:tcMar>
          </w:tcPr>
          <w:p>
            <w:pPr>
              <w:spacing w:after="0" w:line="260"/>
            </w:pPr>
            <w:r>
              <w:rPr>
                <w:b w:val="false"/>
                <w:bCs w:val="false"/>
                <w:sz w:val="20"/>
                <w:szCs w:val="20"/>
              </w:rPr>
              <w:t xml:space="preserve">Programme delivery, internal</w:t>
            </w:r>
          </w:p>
        </w:tc>
        <w:tc>
          <w:tcPr>
            <w:tcW w:type="dxa" w:w="1700"/>
            <w:tcMar>
              <w:top w:type="dxa" w:w="90"/>
              <w:left w:type="dxa" w:w="130"/>
              <w:bottom w:type="dxa" w:w="90"/>
              <w:right w:type="dxa" w:w="130"/>
            </w:tcMar>
          </w:tcPr>
          <w:p>
            <w:pPr>
              <w:spacing w:after="0" w:line="260"/>
            </w:pPr>
            <w:r>
              <w:rPr>
                <w:b w:val="false"/>
                <w:bCs w:val="false"/>
                <w:sz w:val="20"/>
                <w:szCs w:val="20"/>
              </w:rPr>
              <w:t xml:space="preserve">0.6 FTE</w:t>
            </w:r>
          </w:p>
        </w:tc>
        <w:tc>
          <w:tcPr>
            <w:tcW w:type="dxa" w:w="4260"/>
            <w:tcMar>
              <w:top w:type="dxa" w:w="90"/>
              <w:left w:type="dxa" w:w="130"/>
              <w:bottom w:type="dxa" w:w="90"/>
              <w:right w:type="dxa" w:w="130"/>
            </w:tcMar>
          </w:tcPr>
          <w:p>
            <w:pPr>
              <w:spacing w:after="0" w:line="260"/>
            </w:pPr>
            <w:r>
              <w:rPr>
                <w:b w:val="false"/>
                <w:bCs w:val="false"/>
                <w:sz w:val="20"/>
                <w:szCs w:val="20"/>
              </w:rPr>
              <w:t xml:space="preserve">Content assignment, intervention tracking, metrics, manager support. Currently absorbed informally within Security Governance at roughly 0.15 FTE, which is why W-15 has persisted for three years.</w:t>
            </w:r>
          </w:p>
        </w:tc>
      </w:tr>
      <w:tr>
        <w:trPr>
          <w:tblHeader w:val="false"/>
        </w:trPr>
        <w:tc>
          <w:tcPr>
            <w:tcW w:type="dxa" w:w="3400"/>
            <w:tcMar>
              <w:top w:type="dxa" w:w="90"/>
              <w:left w:type="dxa" w:w="130"/>
              <w:bottom w:type="dxa" w:w="90"/>
              <w:right w:type="dxa" w:w="130"/>
            </w:tcMar>
          </w:tcPr>
          <w:p>
            <w:pPr>
              <w:spacing w:after="0" w:line="260"/>
            </w:pPr>
            <w:r>
              <w:rPr>
                <w:b w:val="false"/>
                <w:bCs w:val="false"/>
                <w:sz w:val="20"/>
                <w:szCs w:val="20"/>
              </w:rPr>
              <w:t xml:space="preserve">Instructor-led delivery</w:t>
            </w:r>
          </w:p>
        </w:tc>
        <w:tc>
          <w:tcPr>
            <w:tcW w:type="dxa" w:w="1700"/>
            <w:tcMar>
              <w:top w:type="dxa" w:w="90"/>
              <w:left w:type="dxa" w:w="130"/>
              <w:bottom w:type="dxa" w:w="90"/>
              <w:right w:type="dxa" w:w="130"/>
            </w:tcMar>
          </w:tcPr>
          <w:p>
            <w:pPr>
              <w:spacing w:after="0" w:line="260"/>
            </w:pPr>
            <w:r>
              <w:rPr>
                <w:b w:val="false"/>
                <w:bCs w:val="false"/>
                <w:sz w:val="20"/>
                <w:szCs w:val="20"/>
              </w:rPr>
              <w:t xml:space="preserve">18 days per year</w:t>
            </w:r>
          </w:p>
        </w:tc>
        <w:tc>
          <w:tcPr>
            <w:tcW w:type="dxa" w:w="4260"/>
            <w:tcMar>
              <w:top w:type="dxa" w:w="90"/>
              <w:left w:type="dxa" w:w="130"/>
              <w:bottom w:type="dxa" w:w="90"/>
              <w:right w:type="dxa" w:w="130"/>
            </w:tcMar>
          </w:tcPr>
          <w:p>
            <w:pPr>
              <w:spacing w:after="0" w:line="260"/>
            </w:pPr>
            <w:r>
              <w:rPr>
                <w:b w:val="false"/>
                <w:bCs w:val="false"/>
                <w:sz w:val="20"/>
                <w:szCs w:val="20"/>
              </w:rPr>
              <w:t xml:space="preserve">Repeat clicker small-group sessions and credential submitter sessions. At the current failure volume, approximately 12 sessions per year.</w:t>
            </w:r>
          </w:p>
        </w:tc>
      </w:tr>
      <w:tr>
        <w:trPr>
          <w:tblHeader w:val="false"/>
        </w:trPr>
        <w:tc>
          <w:tcPr>
            <w:tcW w:type="dxa" w:w="3400"/>
            <w:tcMar>
              <w:top w:type="dxa" w:w="90"/>
              <w:left w:type="dxa" w:w="130"/>
              <w:bottom w:type="dxa" w:w="90"/>
              <w:right w:type="dxa" w:w="130"/>
            </w:tcMar>
          </w:tcPr>
          <w:p>
            <w:pPr>
              <w:spacing w:after="0" w:line="260"/>
            </w:pPr>
            <w:r>
              <w:rPr>
                <w:b w:val="false"/>
                <w:bCs w:val="false"/>
                <w:sz w:val="20"/>
                <w:szCs w:val="20"/>
              </w:rPr>
              <w:t xml:space="preserve">Role-based content development</w:t>
            </w:r>
          </w:p>
        </w:tc>
        <w:tc>
          <w:tcPr>
            <w:tcW w:type="dxa" w:w="1700"/>
            <w:tcMar>
              <w:top w:type="dxa" w:w="90"/>
              <w:left w:type="dxa" w:w="130"/>
              <w:bottom w:type="dxa" w:w="90"/>
              <w:right w:type="dxa" w:w="130"/>
            </w:tcMar>
          </w:tcPr>
          <w:p>
            <w:pPr>
              <w:spacing w:after="0" w:line="260"/>
            </w:pPr>
            <w:r>
              <w:rPr>
                <w:b w:val="false"/>
                <w:bCs w:val="false"/>
                <w:sz w:val="20"/>
                <w:szCs w:val="20"/>
              </w:rPr>
              <w:t xml:space="preserve">USD 45,000, one-off</w:t>
            </w:r>
          </w:p>
        </w:tc>
        <w:tc>
          <w:tcPr>
            <w:tcW w:type="dxa" w:w="4260"/>
            <w:tcMar>
              <w:top w:type="dxa" w:w="90"/>
              <w:left w:type="dxa" w:w="130"/>
              <w:bottom w:type="dxa" w:w="90"/>
              <w:right w:type="dxa" w:w="130"/>
            </w:tcMar>
          </w:tcPr>
          <w:p>
            <w:pPr>
              <w:spacing w:after="0" w:line="260"/>
            </w:pPr>
            <w:r>
              <w:rPr>
                <w:b w:val="false"/>
                <w:bCs w:val="false"/>
                <w:sz w:val="20"/>
                <w:szCs w:val="20"/>
              </w:rPr>
              <w:t xml:space="preserve">Nine modules. Assumes purchase of adaptable commercial content rather than bespoke production; bespoke would be roughly triple.</w:t>
            </w:r>
          </w:p>
        </w:tc>
      </w:tr>
      <w:tr>
        <w:trPr>
          <w:tblHeader w:val="false"/>
        </w:trPr>
        <w:tc>
          <w:tcPr>
            <w:tcW w:type="dxa" w:w="3400"/>
            <w:tcMar>
              <w:top w:type="dxa" w:w="90"/>
              <w:left w:type="dxa" w:w="130"/>
              <w:bottom w:type="dxa" w:w="90"/>
              <w:right w:type="dxa" w:w="130"/>
            </w:tcMar>
          </w:tcPr>
          <w:p>
            <w:pPr>
              <w:spacing w:after="0" w:line="260"/>
            </w:pPr>
            <w:r>
              <w:rPr>
                <w:b w:val="false"/>
                <w:bCs w:val="false"/>
                <w:sz w:val="20"/>
                <w:szCs w:val="20"/>
              </w:rPr>
              <w:t xml:space="preserve">Awareness platform</w:t>
            </w:r>
          </w:p>
        </w:tc>
        <w:tc>
          <w:tcPr>
            <w:tcW w:type="dxa" w:w="1700"/>
            <w:tcMar>
              <w:top w:type="dxa" w:w="90"/>
              <w:left w:type="dxa" w:w="130"/>
              <w:bottom w:type="dxa" w:w="90"/>
              <w:right w:type="dxa" w:w="130"/>
            </w:tcMar>
          </w:tcPr>
          <w:p>
            <w:pPr>
              <w:spacing w:after="0" w:line="260"/>
            </w:pPr>
            <w:r>
              <w:rPr>
                <w:b w:val="false"/>
                <w:bCs w:val="false"/>
                <w:sz w:val="20"/>
                <w:szCs w:val="20"/>
              </w:rPr>
              <w:t xml:space="preserve">USD 22,000 per year</w:t>
            </w:r>
          </w:p>
        </w:tc>
        <w:tc>
          <w:tcPr>
            <w:tcW w:type="dxa" w:w="4260"/>
            <w:tcMar>
              <w:top w:type="dxa" w:w="90"/>
              <w:left w:type="dxa" w:w="130"/>
              <w:bottom w:type="dxa" w:w="90"/>
              <w:right w:type="dxa" w:w="130"/>
            </w:tcMar>
          </w:tcPr>
          <w:p>
            <w:pPr>
              <w:spacing w:after="0" w:line="260"/>
            </w:pPr>
            <w:r>
              <w:rPr>
                <w:b w:val="false"/>
                <w:bCs w:val="false"/>
                <w:sz w:val="20"/>
                <w:szCs w:val="20"/>
              </w:rPr>
              <w:t xml:space="preserve">Existing licence, extended for role-based assignment and simulation channel variety.</w:t>
            </w:r>
          </w:p>
        </w:tc>
      </w:tr>
      <w:tr>
        <w:trPr>
          <w:tblHeader w:val="false"/>
        </w:trPr>
        <w:tc>
          <w:tcPr>
            <w:tcW w:type="dxa" w:w="3400"/>
            <w:tcMar>
              <w:top w:type="dxa" w:w="90"/>
              <w:left w:type="dxa" w:w="130"/>
              <w:bottom w:type="dxa" w:w="90"/>
              <w:right w:type="dxa" w:w="130"/>
            </w:tcMar>
          </w:tcPr>
          <w:p>
            <w:pPr>
              <w:spacing w:after="0" w:line="260"/>
            </w:pPr>
            <w:r>
              <w:rPr>
                <w:b w:val="false"/>
                <w:bCs w:val="false"/>
                <w:sz w:val="20"/>
                <w:szCs w:val="20"/>
              </w:rPr>
              <w:t xml:space="preserve">Multi-channel simulation</w:t>
            </w:r>
          </w:p>
        </w:tc>
        <w:tc>
          <w:tcPr>
            <w:tcW w:type="dxa" w:w="1700"/>
            <w:tcMar>
              <w:top w:type="dxa" w:w="90"/>
              <w:left w:type="dxa" w:w="130"/>
              <w:bottom w:type="dxa" w:w="90"/>
              <w:right w:type="dxa" w:w="130"/>
            </w:tcMar>
          </w:tcPr>
          <w:p>
            <w:pPr>
              <w:spacing w:after="0" w:line="260"/>
            </w:pPr>
            <w:r>
              <w:rPr>
                <w:b w:val="false"/>
                <w:bCs w:val="false"/>
                <w:sz w:val="20"/>
                <w:szCs w:val="20"/>
              </w:rPr>
              <w:t xml:space="preserve">USD 12,000 per year</w:t>
            </w:r>
          </w:p>
        </w:tc>
        <w:tc>
          <w:tcPr>
            <w:tcW w:type="dxa" w:w="4260"/>
            <w:tcMar>
              <w:top w:type="dxa" w:w="90"/>
              <w:left w:type="dxa" w:w="130"/>
              <w:bottom w:type="dxa" w:w="90"/>
              <w:right w:type="dxa" w:w="130"/>
            </w:tcMar>
          </w:tcPr>
          <w:p>
            <w:pPr>
              <w:spacing w:after="0" w:line="260"/>
            </w:pPr>
            <w:r>
              <w:rPr>
                <w:b w:val="false"/>
                <w:bCs w:val="false"/>
                <w:sz w:val="20"/>
                <w:szCs w:val="20"/>
              </w:rPr>
              <w:t xml:space="preserve">Voice, SMS and QR simulation capability, not currently licensed.</w:t>
            </w:r>
          </w:p>
        </w:tc>
      </w:tr>
      <w:tr>
        <w:trPr>
          <w:tblHeader w:val="false"/>
        </w:trPr>
        <w:tc>
          <w:tcPr>
            <w:tcW w:type="dxa" w:w="3400"/>
            <w:tcMar>
              <w:top w:type="dxa" w:w="90"/>
              <w:left w:type="dxa" w:w="130"/>
              <w:bottom w:type="dxa" w:w="90"/>
              <w:right w:type="dxa" w:w="130"/>
            </w:tcMar>
          </w:tcPr>
          <w:p>
            <w:pPr>
              <w:spacing w:after="0" w:line="260"/>
            </w:pPr>
            <w:r>
              <w:rPr>
                <w:b w:val="false"/>
                <w:bCs w:val="false"/>
                <w:sz w:val="20"/>
                <w:szCs w:val="20"/>
              </w:rPr>
              <w:t xml:space="preserve">Champions programme</w:t>
            </w:r>
          </w:p>
        </w:tc>
        <w:tc>
          <w:tcPr>
            <w:tcW w:type="dxa" w:w="1700"/>
            <w:tcMar>
              <w:top w:type="dxa" w:w="90"/>
              <w:left w:type="dxa" w:w="130"/>
              <w:bottom w:type="dxa" w:w="90"/>
              <w:right w:type="dxa" w:w="130"/>
            </w:tcMar>
          </w:tcPr>
          <w:p>
            <w:pPr>
              <w:spacing w:after="0" w:line="260"/>
            </w:pPr>
            <w:r>
              <w:rPr>
                <w:b w:val="false"/>
                <w:bCs w:val="false"/>
                <w:sz w:val="20"/>
                <w:szCs w:val="20"/>
              </w:rPr>
              <w:t xml:space="preserve">USD 6,000 per year</w:t>
            </w:r>
          </w:p>
        </w:tc>
        <w:tc>
          <w:tcPr>
            <w:tcW w:type="dxa" w:w="4260"/>
            <w:tcMar>
              <w:top w:type="dxa" w:w="90"/>
              <w:left w:type="dxa" w:w="130"/>
              <w:bottom w:type="dxa" w:w="90"/>
              <w:right w:type="dxa" w:w="130"/>
            </w:tcMar>
          </w:tcPr>
          <w:p>
            <w:pPr>
              <w:spacing w:after="0" w:line="260"/>
            </w:pPr>
            <w:r>
              <w:rPr>
                <w:b w:val="false"/>
                <w:bCs w:val="false"/>
                <w:sz w:val="20"/>
                <w:szCs w:val="20"/>
              </w:rPr>
              <w:t xml:space="preserve">Recognition, materials and quarterly champion session costs.</w:t>
            </w:r>
          </w:p>
        </w:tc>
      </w:tr>
      <w:tr>
        <w:trPr>
          <w:tblHeader w:val="false"/>
        </w:trPr>
        <w:tc>
          <w:tcPr>
            <w:tcW w:type="dxa" w:w="3400"/>
            <w:tcMar>
              <w:top w:type="dxa" w:w="90"/>
              <w:left w:type="dxa" w:w="130"/>
              <w:bottom w:type="dxa" w:w="90"/>
              <w:right w:type="dxa" w:w="130"/>
            </w:tcMar>
          </w:tcPr>
          <w:p>
            <w:pPr>
              <w:spacing w:after="0" w:line="260"/>
            </w:pPr>
            <w:r>
              <w:rPr>
                <w:b w:val="false"/>
                <w:bCs w:val="false"/>
                <w:sz w:val="20"/>
                <w:szCs w:val="20"/>
              </w:rPr>
              <w:t xml:space="preserve">Total first year</w:t>
            </w:r>
          </w:p>
        </w:tc>
        <w:tc>
          <w:tcPr>
            <w:tcW w:type="dxa" w:w="1700"/>
            <w:tcMar>
              <w:top w:type="dxa" w:w="90"/>
              <w:left w:type="dxa" w:w="130"/>
              <w:bottom w:type="dxa" w:w="90"/>
              <w:right w:type="dxa" w:w="130"/>
            </w:tcMar>
          </w:tcPr>
          <w:p>
            <w:pPr>
              <w:spacing w:after="0" w:line="260"/>
            </w:pPr>
            <w:r>
              <w:rPr>
                <w:b w:val="false"/>
                <w:bCs w:val="false"/>
                <w:sz w:val="20"/>
                <w:szCs w:val="20"/>
              </w:rPr>
              <w:t xml:space="preserve">USD 85,000 plus 0.6 FTE</w:t>
            </w:r>
          </w:p>
        </w:tc>
        <w:tc>
          <w:tcPr>
            <w:tcW w:type="dxa" w:w="4260"/>
            <w:tcMar>
              <w:top w:type="dxa" w:w="90"/>
              <w:left w:type="dxa" w:w="130"/>
              <w:bottom w:type="dxa" w:w="90"/>
              <w:right w:type="dxa" w:w="130"/>
            </w:tcMar>
          </w:tcPr>
          <w:p>
            <w:pPr>
              <w:spacing w:after="0" w:line="260"/>
            </w:pPr>
            <w:r>
              <w:rPr>
                <w:b w:val="false"/>
                <w:bCs w:val="false"/>
                <w:sz w:val="20"/>
                <w:szCs w:val="20"/>
              </w:rPr>
              <w:t xml:space="preserve">Approximately USD 0.14 per worker per day of the first year.</w:t>
            </w:r>
          </w:p>
        </w:tc>
      </w:tr>
    </w:tbl>
    <w:p>
      <w:pPr>
        <w:spacing w:after="140" w:line="276"/>
      </w:pPr>
      <w:r>
        <w:rPr>
          <w:sz w:val="22"/>
          <w:szCs w:val="22"/>
        </w:rPr>
        <w:t xml:space="preserve">If the resource is not approved, the programme should be scoped down explicitly rather than adopted in full and delivered in part. The specific components to retain in a reduced version are the intervention matrix at section 7 and the completion recovery at section 8.1, because those close the two recorded gaps. Role-based content and multi-channel simulation are the components to defer.</w:t>
      </w:r>
    </w:p>
    <w:p>
      <w:pPr>
        <w:pStyle w:val="Heading1"/>
        <w:spacing w:after="160" w:before="320"/>
      </w:pPr>
      <w:r>
        <w:t xml:space="preserve">13. Security champions network</w:t>
      </w:r>
    </w:p>
    <w:p>
      <w:pPr>
        <w:pStyle w:val="ListParagraph"/>
        <w:numPr>
          <w:ilvl w:val="0"/>
          <w:numId w:val="2"/>
        </w:numPr>
        <w:spacing w:after="80" w:line="276"/>
      </w:pPr>
      <w:r>
        <w:rPr>
          <w:sz w:val="22"/>
          <w:szCs w:val="22"/>
        </w:rPr>
        <w:t xml:space="preserve">One champion per function, nominated by the function head, with a named deputy for Engineering and Customer Operations given their size.</w:t>
      </w:r>
    </w:p>
    <w:p>
      <w:pPr>
        <w:pStyle w:val="ListParagraph"/>
        <w:numPr>
          <w:ilvl w:val="0"/>
          <w:numId w:val="2"/>
        </w:numPr>
        <w:spacing w:after="80" w:line="276"/>
      </w:pPr>
      <w:r>
        <w:rPr>
          <w:sz w:val="22"/>
          <w:szCs w:val="22"/>
        </w:rPr>
        <w:t xml:space="preserve">Time commitment of approximately two hours per month, agreed with the line manager and recognised in objectives.</w:t>
      </w:r>
    </w:p>
    <w:p>
      <w:pPr>
        <w:pStyle w:val="ListParagraph"/>
        <w:numPr>
          <w:ilvl w:val="0"/>
          <w:numId w:val="2"/>
        </w:numPr>
        <w:spacing w:after="80" w:line="276"/>
      </w:pPr>
      <w:r>
        <w:rPr>
          <w:sz w:val="22"/>
          <w:szCs w:val="22"/>
        </w:rPr>
        <w:t xml:space="preserve">Champions receive an extended briefing quarterly, ahead of the wider workforce, and are the first point of contact within their function for a security question that does not warrant a ticket.</w:t>
      </w:r>
    </w:p>
    <w:p>
      <w:pPr>
        <w:pStyle w:val="ListParagraph"/>
        <w:numPr>
          <w:ilvl w:val="0"/>
          <w:numId w:val="2"/>
        </w:numPr>
        <w:spacing w:after="80" w:line="276"/>
      </w:pPr>
      <w:r>
        <w:rPr>
          <w:sz w:val="22"/>
          <w:szCs w:val="22"/>
        </w:rPr>
        <w:t xml:space="preserve">Champions do not investigate incidents, do not approve exceptions, and are not accountable for their function’s metrics. They are a communication channel, not a control.</w:t>
      </w:r>
    </w:p>
    <w:p>
      <w:pPr>
        <w:pStyle w:val="ListParagraph"/>
        <w:numPr>
          <w:ilvl w:val="0"/>
          <w:numId w:val="2"/>
        </w:numPr>
        <w:spacing w:after="80" w:line="276"/>
      </w:pPr>
      <w:r>
        <w:rPr>
          <w:sz w:val="22"/>
          <w:szCs w:val="22"/>
        </w:rPr>
        <w:t xml:space="preserve">The network is reviewed annually. A champion role held by someone with no interest in it is worse than an unfilled one.</w:t>
      </w:r>
    </w:p>
    <w:p>
      <w:pPr>
        <w:pStyle w:val="Heading1"/>
        <w:spacing w:after="160" w:before="320"/>
      </w:pPr>
      <w:r>
        <w:t xml:space="preserve">14. Related documents</w:t>
      </w:r>
    </w:p>
    <w:p>
      <w:pPr>
        <w:pStyle w:val="ListParagraph"/>
        <w:numPr>
          <w:ilvl w:val="0"/>
          <w:numId w:val="2"/>
        </w:numPr>
        <w:spacing w:after="80" w:line="276"/>
      </w:pPr>
      <w:r>
        <w:rPr>
          <w:sz w:val="22"/>
          <w:szCs w:val="22"/>
        </w:rPr>
        <w:t xml:space="preserve">AFT-CTX-01 — Organisation Context Pack</w:t>
      </w:r>
    </w:p>
    <w:p>
      <w:pPr>
        <w:pStyle w:val="ListParagraph"/>
        <w:numPr>
          <w:ilvl w:val="0"/>
          <w:numId w:val="2"/>
        </w:numPr>
        <w:spacing w:after="80" w:line="276"/>
      </w:pPr>
      <w:r>
        <w:rPr>
          <w:sz w:val="22"/>
          <w:szCs w:val="22"/>
        </w:rPr>
        <w:t xml:space="preserve">AFT-ISMS-POL-01 — Acceptable Use Policy</w:t>
      </w:r>
    </w:p>
    <w:p>
      <w:pPr>
        <w:pStyle w:val="ListParagraph"/>
        <w:numPr>
          <w:ilvl w:val="0"/>
          <w:numId w:val="2"/>
        </w:numPr>
        <w:spacing w:after="80" w:line="276"/>
      </w:pPr>
      <w:r>
        <w:rPr>
          <w:sz w:val="22"/>
          <w:szCs w:val="22"/>
        </w:rPr>
        <w:t xml:space="preserve">AFT-ISMS-POL-02 — Information Security Incident Response Policy</w:t>
      </w:r>
    </w:p>
    <w:p>
      <w:pPr>
        <w:pStyle w:val="ListParagraph"/>
        <w:numPr>
          <w:ilvl w:val="0"/>
          <w:numId w:val="2"/>
        </w:numPr>
        <w:spacing w:after="80" w:line="276"/>
      </w:pPr>
      <w:r>
        <w:rPr>
          <w:sz w:val="22"/>
          <w:szCs w:val="22"/>
        </w:rPr>
        <w:t xml:space="preserve">AFT-ISMS-POL-04 — Data Classification and Handling Policy</w:t>
      </w:r>
    </w:p>
    <w:p>
      <w:pPr>
        <w:pStyle w:val="ListParagraph"/>
        <w:numPr>
          <w:ilvl w:val="0"/>
          <w:numId w:val="2"/>
        </w:numPr>
        <w:spacing w:after="80" w:line="276"/>
      </w:pPr>
      <w:r>
        <w:rPr>
          <w:sz w:val="22"/>
          <w:szCs w:val="22"/>
        </w:rPr>
        <w:t xml:space="preserve">AFT-ISMS-GAP-01 — ISO/IEC 27001:2022 Gap Analysis (W-14, W-15, A.6.3, clause 7.3)</w:t>
      </w:r>
    </w:p>
    <w:p>
      <w:pPr>
        <w:pStyle w:val="ListParagraph"/>
        <w:numPr>
          <w:ilvl w:val="0"/>
          <w:numId w:val="2"/>
        </w:numPr>
        <w:spacing w:after="80" w:line="276"/>
      </w:pPr>
      <w:r>
        <w:rPr>
          <w:sz w:val="22"/>
          <w:szCs w:val="22"/>
        </w:rPr>
        <w:t xml:space="preserve">AFT-ISMS-RSK-01 — Information Security Risk Register (R-11, R-12)</w:t>
      </w:r>
    </w:p>
    <w:p>
      <w:pPr>
        <w:pStyle w:val="ListParagraph"/>
        <w:numPr>
          <w:ilvl w:val="0"/>
          <w:numId w:val="2"/>
        </w:numPr>
        <w:spacing w:after="80" w:line="276"/>
      </w:pPr>
      <w:r>
        <w:rPr>
          <w:sz w:val="22"/>
          <w:szCs w:val="22"/>
        </w:rPr>
        <w:t xml:space="preserve">AFT-HR-POL-02 — Disciplinary Procedure</w:t>
      </w:r>
    </w:p>
    <w:p>
      <w:pPr>
        <w:pStyle w:val="Heading1"/>
        <w:spacing w:after="160" w:before="320"/>
      </w:pPr>
      <w:r>
        <w:t xml:space="preserve">15. Standards mapping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360"/>
        <w:gridCol w:w="260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Framework</w:t>
            </w:r>
          </w:p>
        </w:tc>
        <w:tc>
          <w:tcPr>
            <w:tcW w:type="dxa" w:w="4360"/>
            <w:shd w:fill="E7EAF0" w:color="auto" w:val="clear"/>
            <w:tcMar>
              <w:top w:type="dxa" w:w="90"/>
              <w:left w:type="dxa" w:w="130"/>
              <w:bottom w:type="dxa" w:w="90"/>
              <w:right w:type="dxa" w:w="130"/>
            </w:tcMar>
          </w:tcPr>
          <w:p>
            <w:pPr>
              <w:spacing w:after="0" w:line="260"/>
            </w:pPr>
            <w:r>
              <w:rPr>
                <w:b/>
                <w:bCs/>
                <w:sz w:val="20"/>
                <w:szCs w:val="20"/>
              </w:rPr>
              <w:t xml:space="preserve">Reference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Control theme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w:t>
            </w:r>
          </w:p>
        </w:tc>
        <w:tc>
          <w:tcPr>
            <w:tcW w:type="dxa" w:w="4360"/>
            <w:tcMar>
              <w:top w:type="dxa" w:w="90"/>
              <w:left w:type="dxa" w:w="130"/>
              <w:bottom w:type="dxa" w:w="90"/>
              <w:right w:type="dxa" w:w="130"/>
            </w:tcMar>
          </w:tcPr>
          <w:p>
            <w:pPr>
              <w:spacing w:after="0" w:line="260"/>
            </w:pPr>
            <w:r>
              <w:rPr>
                <w:b w:val="false"/>
                <w:bCs w:val="false"/>
                <w:sz w:val="20"/>
                <w:szCs w:val="20"/>
              </w:rPr>
              <w:t xml:space="preserve">Clause 7.2</w:t>
            </w:r>
          </w:p>
        </w:tc>
        <w:tc>
          <w:tcPr>
            <w:tcW w:type="dxa" w:w="2600"/>
            <w:tcMar>
              <w:top w:type="dxa" w:w="90"/>
              <w:left w:type="dxa" w:w="130"/>
              <w:bottom w:type="dxa" w:w="90"/>
              <w:right w:type="dxa" w:w="130"/>
            </w:tcMar>
          </w:tcPr>
          <w:p>
            <w:pPr>
              <w:spacing w:after="0" w:line="260"/>
            </w:pPr>
            <w:r>
              <w:rPr>
                <w:b w:val="false"/>
                <w:bCs w:val="false"/>
                <w:sz w:val="20"/>
                <w:szCs w:val="20"/>
              </w:rPr>
              <w:t xml:space="preserve">Competence — determining and evidencing necessary competence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w:t>
            </w:r>
          </w:p>
        </w:tc>
        <w:tc>
          <w:tcPr>
            <w:tcW w:type="dxa" w:w="4360"/>
            <w:tcMar>
              <w:top w:type="dxa" w:w="90"/>
              <w:left w:type="dxa" w:w="130"/>
              <w:bottom w:type="dxa" w:w="90"/>
              <w:right w:type="dxa" w:w="130"/>
            </w:tcMar>
          </w:tcPr>
          <w:p>
            <w:pPr>
              <w:spacing w:after="0" w:line="260"/>
            </w:pPr>
            <w:r>
              <w:rPr>
                <w:b w:val="false"/>
                <w:bCs w:val="false"/>
                <w:sz w:val="20"/>
                <w:szCs w:val="20"/>
              </w:rPr>
              <w:t xml:space="preserve">Clause 7.3</w:t>
            </w:r>
          </w:p>
        </w:tc>
        <w:tc>
          <w:tcPr>
            <w:tcW w:type="dxa" w:w="2600"/>
            <w:tcMar>
              <w:top w:type="dxa" w:w="90"/>
              <w:left w:type="dxa" w:w="130"/>
              <w:bottom w:type="dxa" w:w="90"/>
              <w:right w:type="dxa" w:w="130"/>
            </w:tcMar>
          </w:tcPr>
          <w:p>
            <w:pPr>
              <w:spacing w:after="0" w:line="260"/>
            </w:pPr>
            <w:r>
              <w:rPr>
                <w:b w:val="false"/>
                <w:bCs w:val="false"/>
                <w:sz w:val="20"/>
                <w:szCs w:val="20"/>
              </w:rPr>
              <w:t xml:space="preserve">Awareness — of the policy and the implications of not conforming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A.6.3</w:t>
            </w:r>
          </w:p>
        </w:tc>
        <w:tc>
          <w:tcPr>
            <w:tcW w:type="dxa" w:w="2600"/>
            <w:tcMar>
              <w:top w:type="dxa" w:w="90"/>
              <w:left w:type="dxa" w:w="130"/>
              <w:bottom w:type="dxa" w:w="90"/>
              <w:right w:type="dxa" w:w="130"/>
            </w:tcMar>
          </w:tcPr>
          <w:p>
            <w:pPr>
              <w:spacing w:after="0" w:line="260"/>
            </w:pPr>
            <w:r>
              <w:rPr>
                <w:b w:val="false"/>
                <w:bCs w:val="false"/>
                <w:sz w:val="20"/>
                <w:szCs w:val="20"/>
              </w:rPr>
              <w:t xml:space="preserve">Information security awareness, education and training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A.6.8</w:t>
            </w:r>
          </w:p>
        </w:tc>
        <w:tc>
          <w:tcPr>
            <w:tcW w:type="dxa" w:w="2600"/>
            <w:tcMar>
              <w:top w:type="dxa" w:w="90"/>
              <w:left w:type="dxa" w:w="130"/>
              <w:bottom w:type="dxa" w:w="90"/>
              <w:right w:type="dxa" w:w="130"/>
            </w:tcMar>
          </w:tcPr>
          <w:p>
            <w:pPr>
              <w:spacing w:after="0" w:line="260"/>
            </w:pPr>
            <w:r>
              <w:rPr>
                <w:b w:val="false"/>
                <w:bCs w:val="false"/>
                <w:sz w:val="20"/>
                <w:szCs w:val="20"/>
              </w:rPr>
              <w:t xml:space="preserve">Information security event reporting</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A.5.4</w:t>
            </w:r>
          </w:p>
        </w:tc>
        <w:tc>
          <w:tcPr>
            <w:tcW w:type="dxa" w:w="2600"/>
            <w:tcMar>
              <w:top w:type="dxa" w:w="90"/>
              <w:left w:type="dxa" w:w="130"/>
              <w:bottom w:type="dxa" w:w="90"/>
              <w:right w:type="dxa" w:w="130"/>
            </w:tcMar>
          </w:tcPr>
          <w:p>
            <w:pPr>
              <w:spacing w:after="0" w:line="260"/>
            </w:pPr>
            <w:r>
              <w:rPr>
                <w:b w:val="false"/>
                <w:bCs w:val="false"/>
                <w:sz w:val="20"/>
                <w:szCs w:val="20"/>
              </w:rPr>
              <w:t xml:space="preserve">Management responsibilities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A.6.4</w:t>
            </w:r>
          </w:p>
        </w:tc>
        <w:tc>
          <w:tcPr>
            <w:tcW w:type="dxa" w:w="2600"/>
            <w:tcMar>
              <w:top w:type="dxa" w:w="90"/>
              <w:left w:type="dxa" w:w="130"/>
              <w:bottom w:type="dxa" w:w="90"/>
              <w:right w:type="dxa" w:w="130"/>
            </w:tcMar>
          </w:tcPr>
          <w:p>
            <w:pPr>
              <w:spacing w:after="0" w:line="260"/>
            </w:pPr>
            <w:r>
              <w:rPr>
                <w:b w:val="false"/>
                <w:bCs w:val="false"/>
                <w:sz w:val="20"/>
                <w:szCs w:val="20"/>
              </w:rPr>
              <w:t xml:space="preserve">Disciplinary process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NIST CSF 2.0</w:t>
            </w:r>
          </w:p>
        </w:tc>
        <w:tc>
          <w:tcPr>
            <w:tcW w:type="dxa" w:w="4360"/>
            <w:tcMar>
              <w:top w:type="dxa" w:w="90"/>
              <w:left w:type="dxa" w:w="130"/>
              <w:bottom w:type="dxa" w:w="90"/>
              <w:right w:type="dxa" w:w="130"/>
            </w:tcMar>
          </w:tcPr>
          <w:p>
            <w:pPr>
              <w:spacing w:after="0" w:line="260"/>
            </w:pPr>
            <w:r>
              <w:rPr>
                <w:b w:val="false"/>
                <w:bCs w:val="false"/>
                <w:sz w:val="20"/>
                <w:szCs w:val="20"/>
              </w:rPr>
              <w:t xml:space="preserve">PR.AT-01, PR.AT-02</w:t>
            </w:r>
          </w:p>
        </w:tc>
        <w:tc>
          <w:tcPr>
            <w:tcW w:type="dxa" w:w="2600"/>
            <w:tcMar>
              <w:top w:type="dxa" w:w="90"/>
              <w:left w:type="dxa" w:w="130"/>
              <w:bottom w:type="dxa" w:w="90"/>
              <w:right w:type="dxa" w:w="130"/>
            </w:tcMar>
          </w:tcPr>
          <w:p>
            <w:pPr>
              <w:spacing w:after="0" w:line="260"/>
            </w:pPr>
            <w:r>
              <w:rPr>
                <w:b w:val="false"/>
                <w:bCs w:val="false"/>
                <w:sz w:val="20"/>
                <w:szCs w:val="20"/>
              </w:rPr>
              <w:t xml:space="preserve">Awareness and training for all personnel and for privileged roles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PCI DSS v4.0</w:t>
            </w:r>
          </w:p>
        </w:tc>
        <w:tc>
          <w:tcPr>
            <w:tcW w:type="dxa" w:w="4360"/>
            <w:tcMar>
              <w:top w:type="dxa" w:w="90"/>
              <w:left w:type="dxa" w:w="130"/>
              <w:bottom w:type="dxa" w:w="90"/>
              <w:right w:type="dxa" w:w="130"/>
            </w:tcMar>
          </w:tcPr>
          <w:p>
            <w:pPr>
              <w:spacing w:after="0" w:line="260"/>
            </w:pPr>
            <w:r>
              <w:rPr>
                <w:b w:val="false"/>
                <w:bCs w:val="false"/>
                <w:sz w:val="20"/>
                <w:szCs w:val="20"/>
              </w:rPr>
              <w:t xml:space="preserve">Requirement 12.6</w:t>
            </w:r>
          </w:p>
        </w:tc>
        <w:tc>
          <w:tcPr>
            <w:tcW w:type="dxa" w:w="2600"/>
            <w:tcMar>
              <w:top w:type="dxa" w:w="90"/>
              <w:left w:type="dxa" w:w="130"/>
              <w:bottom w:type="dxa" w:w="90"/>
              <w:right w:type="dxa" w:w="130"/>
            </w:tcMar>
          </w:tcPr>
          <w:p>
            <w:pPr>
              <w:spacing w:after="0" w:line="260"/>
            </w:pPr>
            <w:r>
              <w:rPr>
                <w:b w:val="false"/>
                <w:bCs w:val="false"/>
                <w:sz w:val="20"/>
                <w:szCs w:val="20"/>
              </w:rPr>
              <w:t xml:space="preserve">Security awareness programme, including phishing and social engineering</w:t>
            </w:r>
          </w:p>
        </w:tc>
      </w:tr>
    </w:tbl>
    <w:p>
      <w:pPr>
        <w:pStyle w:val="Heading1"/>
        <w:spacing w:after="160" w:before="320"/>
      </w:pPr>
      <w:r>
        <w:t xml:space="preserve">16. Revision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900"/>
        <w:gridCol w:w="2600"/>
        <w:gridCol w:w="3660"/>
      </w:tblGrid>
      <w:tr>
        <w:trPr>
          <w:tblHeader/>
        </w:trPr>
        <w:tc>
          <w:tcPr>
            <w:tcW w:type="dxa" w:w="1200"/>
            <w:shd w:fill="E7EAF0" w:color="auto" w:val="clear"/>
            <w:tcMar>
              <w:top w:type="dxa" w:w="90"/>
              <w:left w:type="dxa" w:w="130"/>
              <w:bottom w:type="dxa" w:w="90"/>
              <w:right w:type="dxa" w:w="130"/>
            </w:tcMar>
          </w:tcPr>
          <w:p>
            <w:pPr>
              <w:spacing w:after="0" w:line="260"/>
            </w:pPr>
            <w:r>
              <w:rPr>
                <w:b/>
                <w:bCs/>
                <w:sz w:val="20"/>
                <w:szCs w:val="20"/>
              </w:rPr>
              <w:t xml:space="preserve">Version</w:t>
            </w:r>
          </w:p>
        </w:tc>
        <w:tc>
          <w:tcPr>
            <w:tcW w:type="dxa" w:w="1900"/>
            <w:shd w:fill="E7EAF0" w:color="auto" w:val="clear"/>
            <w:tcMar>
              <w:top w:type="dxa" w:w="90"/>
              <w:left w:type="dxa" w:w="130"/>
              <w:bottom w:type="dxa" w:w="90"/>
              <w:right w:type="dxa" w:w="130"/>
            </w:tcMar>
          </w:tcPr>
          <w:p>
            <w:pPr>
              <w:spacing w:after="0" w:line="260"/>
            </w:pPr>
            <w:r>
              <w:rPr>
                <w:b/>
                <w:bCs/>
                <w:sz w:val="20"/>
                <w:szCs w:val="20"/>
              </w:rPr>
              <w:t xml:space="preserve">Date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Author</w:t>
            </w:r>
          </w:p>
        </w:tc>
        <w:tc>
          <w:tcPr>
            <w:tcW w:type="dxa" w:w="3660"/>
            <w:shd w:fill="E7EAF0" w:color="auto" w:val="clear"/>
            <w:tcMar>
              <w:top w:type="dxa" w:w="90"/>
              <w:left w:type="dxa" w:w="130"/>
              <w:bottom w:type="dxa" w:w="90"/>
              <w:right w:type="dxa" w:w="130"/>
            </w:tcMar>
          </w:tcPr>
          <w:p>
            <w:pPr>
              <w:spacing w:after="0" w:line="260"/>
            </w:pPr>
            <w:r>
              <w:rPr>
                <w:b/>
                <w:bCs/>
                <w:sz w:val="20"/>
                <w:szCs w:val="20"/>
              </w:rPr>
              <w:t xml:space="preserve">Summary of change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1.0</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Initial issue. Replaces the annual training arrangement in place since 2023. Introduces role-based content, a mandatory intervention matrix, ethical constraints on simulation, and reporting against outcome measures rather than completion alone.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1.1</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Added section 11 measures beyond phishing, section 12 resourcing and budget, and section 13 security champions network. Added a data provenance note at section 6, and a UK employment law qualification to the access suspension provision at section 7.</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1.2</w:t>
            </w:r>
          </w:p>
        </w:tc>
        <w:tc>
          <w:tcPr>
            <w:tcW w:type="dxa" w:w="1900"/>
            <w:tcMar>
              <w:top w:type="dxa" w:w="90"/>
              <w:left w:type="dxa" w:w="130"/>
              <w:bottom w:type="dxa" w:w="90"/>
              <w:right w:type="dxa" w:w="130"/>
            </w:tcMar>
          </w:tcPr>
          <w:p>
            <w:pPr>
              <w:spacing w:after="0" w:line="260"/>
            </w:pPr>
            <w:r>
              <w:rPr>
                <w:b w:val="false"/>
                <w:bCs w:val="false"/>
                <w:sz w:val="20"/>
                <w:szCs w:val="20"/>
              </w:rPr>
              <w:t xml:space="preserve">Draft, 9 September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Added section 5.2A statutory financial crime training, covering BSA and UK MLR 2017 obligations, sanctions and tipping-off content. Its absence from versions 1.0 and 1.1 was a material omission: the programme documented the company’s training obligation while leaving out the only element required by law. Added the resulting third-party training gap at Meridian.</w:t>
            </w:r>
          </w:p>
        </w:tc>
      </w:tr>
    </w:tbl>
    <w:sectPr>
      <w:headerReference w:type="default" r:id="rId7"/>
      <w:footerReference w:type="default" r:id="rId8"/>
      <w:pgSz w:w="12240" w:h="15840" w:orient="portrait"/>
      <w:pgMar w:top="1180" w:right="1440" w:bottom="11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60"/>
    </w:pPr>
    <w:r>
      <w:rPr>
        <w:color w:val="44546A"/>
        <w:sz w:val="16"/>
        <w:szCs w:val="16"/>
      </w:rPr>
      <w:t xml:space="preserve">AFT-ISMS-PRG-01  ·  Internal</w:t>
    </w:r>
    <w:r>
      <w:rPr>
        <w:color w:val="44546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b/>
        <w:bCs/>
        <w:color w:val="44546A"/>
        <w:sz w:val="17"/>
        <w:szCs w:val="17"/>
      </w:rPr>
      <w:t xml:space="preserve">Aldridge Financial Technologies</w:t>
    </w:r>
    <w:r>
      <w:rPr>
        <w:color w:val="44546A"/>
        <w:sz w:val="17"/>
        <w:szCs w:val="17"/>
      </w:rPr>
      <w:t xml:space="preserve">	Security Awareness and Training Programme</w:t>
    </w:r>
  </w:p>
  <w:p>
    <w:pPr>
      <w:pBdr>
        <w:bottom w:val="single" w:color="BFBFBF" w:sz="6"/>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44546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Security Awareness and Training Programme</dc:title>
  <dc:creator>Aldridge Financial Technologies — Information Security</dc:creator>
  <dc:description>Information Security Management System — Programme Document</dc:description>
  <cp:lastModifiedBy>Un-named</cp:lastModifiedBy>
  <cp:revision>1</cp:revision>
  <dcterms:created xsi:type="dcterms:W3CDTF">2026-09-10T01:40:51.975Z</dcterms:created>
  <dcterms:modified xsi:type="dcterms:W3CDTF">2026-09-10T01:40:51.975Z</dcterms:modified>
</cp:coreProperties>
</file>

<file path=docProps/custom.xml><?xml version="1.0" encoding="utf-8"?>
<Properties xmlns="http://schemas.openxmlformats.org/officeDocument/2006/custom-properties" xmlns:vt="http://schemas.openxmlformats.org/officeDocument/2006/docPropsVTypes"/>
</file>