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Strategic Classification and Comparative Analysis: The ThemisDB Architecture in the Context of Hyperscaler Database EcosystemsPart 1: Defining the ThemisDB Paradigm as a Basis for Comparison (The "Build" Option)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provided technical documents¹ meticulously outline the architecture of a high-performance multi-model database system, known internally as "ThemisDB"².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solution is fundamentally referred to as the "build" option, signifying a bespoke, internally developed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facilitate a robust and fair comparison with the offerings of hyperscale cloud providers, it is imperative to first comprehensively define the core paradigm underpinning this "build" solution.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Core Architecture: The "Native True Multi-Model" Paradigm (TMMDB)</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ThemisDB design² articulates a "true" multi-model database management system (MMDBMS), distinguishing itself from more common approaches.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its heart lies a "canonical document storage kernel"¹.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kernel's foundational principle dictates that every logical entity—be it a relational row, a graph node, a vector object, or a document—is uniformly stored as a single, binary-optimized "Base Entity" blob¹.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design choice is a deliberate and explicit departure from "polyglot persistence" approaches, which typically involve bundling multiple disparate database engines¹.</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ThemisDB aligns with leading native MMDBMS solutions such as ArangoDB and Cosmos DB, where all diverse data types are consolidated into a single, canonical representation within a unified storage layer¹.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objective of ThemisDB is to dramatically reduce the systemic complexity inherent in polyglot persistence by integrating all functionalities into a single, cohesive, and highly optimized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unification promises not only simplified management but also enhanced data consistency and query efficiency across different data models.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LSM Tree Foundation: A Write-Optimized Architecture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 physical implementation standpoint, this collection of "Base Entity" blobs is built upon an embedded Key-Value-Storage-Engine (KV-Store) that leverages a Log-Structured-Merge-Tree (LSM-Tree)¹.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documentation specifically identifies RocksDB as the chosen underlying storage engine¹.</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fundamental architectural choice inherently maximizes write performance (for create, update, and delete operations).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operations within an LSM-Tree are exceedingly fast, executed as sequential "append-only" actions into an in-memory structure known as the memtable¹.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report unequivocally highlights a significant trade-off: read queries that apply filters to attributes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SELECT</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FROM users WHERE age &gt; 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"catastrophically" slow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necessitate a full scan of these binary blobs¹.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inherent weakness in read performance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architecturally compels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necessity of the projection layers, which are meticulously described in Part 2 of the document¹.</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"Layers" as Reading Projections: The Core of Reading Performance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components referred to as "layers" within the ThemisDB design are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 storage systems, unlike those found in Polyglot Persistence architectures.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these layers are characterized as "read-optimized index projections" that are dynamically derived from, and consistently synchronized with, the canonical "base entity" blobs¹.</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these projections (or indices) physically reside within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RocksDB KV-Store¹ and form the bedrock for all high-performance read operations by effectively bypassing the slow and computationally expensive process of blob deserialization:</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Relational Projection: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implemented using classic secondary indexes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idx:users:age:30:...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establish a mapping between an attribute value and the primary key of the corresponding base entity blob¹.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for rapid lookup of entities based on specific attribute criteria, common in relational query patterns.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 Projection: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Given that "index-free adjacency"¹ is inherently challenging, if not impossible, on a generic KV store, adjacency in ThemisDB's graph model is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simulated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achieved through dedicated "Outdex" and "Index" keys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graph:out:PK_StartNode:...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enable highly efficient prefix scans.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innovative approach effectively reduces complex graph traversals to an impressive $O(k \cdot \log N)$ operation¹, where 'k' represents the number of edges and 'N' is the total number of nodes, making graph queries remarkably performant.</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 Projection: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vector data, an entirely separate Approximate Nearest Neighbor (ANN) index structure is implemented, exemplified by an HNSW (Hierarchical Navigable Small World) graph.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Importantly, this projection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does not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 the vectors themselves, but rather contains references to the primary keys of the Base Entities¹.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separation of concerns ensures efficient vector similarity search without duplicating large vector data, further optimizing storage and lookup.</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Hardware-Centric Philosophy: Control as a Performance Characteristic</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stark contrast to the "black box" abstraction characteristic of most hyperscaler services, the ThemisDB design is founded on a conscious, explicit, and deeply hardware-level utilization of the memory hierarchy¹.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is not merely a software blueprint, but rather 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implicit mandate for a hardware-software co-design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the software is intrinsically aware of and optimized for the underlying hardware's capabilities.</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performance promises inherent in ThemisDB are directly linked to the fundamental assumption that the operator possesses granular control over the physical (or deeply virtualized) hardware.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document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prescribes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precise placement of data components to maximize CRUD (Create, Read, Update, Delete) performance¹:</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Write-Ahead Log (WAL)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reside on the fastest persistent layer available, typically an NVMe SSD, as its performance directly dictates the write latency of the entire system¹.</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LSM tree's memtable and the block cache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reside in the main RAM (DRAM) to accelerate write ingestion and significantly boost read caching performance¹.</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index components, such such as the "upper layers" of the HNSW graph (often referred to as "highways")¹ or the entirety of the "hot" graph topology¹,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permanently "pinned" in RAM to achieve sub-millisecond latencies for crucial operations.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 VRAM is explicitly planned as an accelerator layer, specifically for computationally intensive batch vector searches, leveraging optimized libraries like Faiss¹.</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hardware-aware philosophy extends to the software level, demanding the employment of low-level code optimization (utilizing languages like C++ and Rust), the judicious use of SIMD (Single Instruction, Multiple Data) instructions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simdjson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¹ for accelerated parsing), sophisticated task-based parallelism (implemented with libraries like Intel TBB or Rayon¹), and the integration of column-based in-memory processing frameworks such as Apache Arrow¹.</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design firmly positions ThemisDB in fundamental opposition to the "serverless" paradigm offered by hyperscalers, which primarily sells hardware abstraction as its core value proposition.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ThemisDB explicitly targets workloads where this abstraction would be a significant hindrance—leading to unacceptable latency, unpredictable performance, or prohibitive costs—and where explicit, granular control over the underlying infrastructure is a strategic advantage.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convergence of several critical factors—(1) the imperative for deep hardware control¹, (2) the explicit integration of established enterprise security standards such as Kerberos and Apache Ranger¹, and (3) the provision of compliance tools like a "PII Manager" and an "Audit Log Viewer"²—paints a clear and consistent picture: ThemisDB is unequivocally designed as a deployable artifact for on-premises or sovereign/private cloud deployments.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target audience for ThemisDB consists of large, highly regulated organizations (e.g., banks, healthcare providers, government agencies) that require the cutting-edge performance of a modern AI database (capable of handling vector and graph data) but are constrained by regulatory mandates¹, cost considerations when scaling to extreme levels, or a strategic desire to avoid public cloud vendor lock-in.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The Solution Portfolio of the Hyperscalers (The "Buy" Options)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ThemisDB "build" option enters a competitive landscape dominated by a mature market of "buy" services offered by hyperscale cloud providers.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providers primarily employ two distinct strategies to address the growing demand for multi-model database capabilities.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"Polyglot Persistence" Paradigm (Example: AWS)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"Polyglot Persistence" paradigm¹ stands as the direct antithesis to ThemisDB's True Multi-Model Database (TMMDB)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operates on the core belief that no single database system can optimally address all diverse data storage and processing requirements.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it advocates for a "best-of-breed" strategy, wherein the most suitable, specialized database is chosen for each specific task or data model.</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AWS ecosystem serves as the most prominent and comprehensive example of this strategy, offering a veritable "data Lego" building block system:</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RDS (Relational Database Service) or Amazon Aurora are provided for traditional SQL-based workloads, offering managed instances of popular relational databases or a cloud-native, MySQL/PostgreSQL-compatible option.</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Document/Key-Value: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DynamoDB is a flagship offering for massive scalability with key-value and document patterns, designed for high-performance, low-latency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DocumentDB provides MongoDB compatibility.</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Neptune is a separate, fully managed graph database service, specifically optimized for storing and querying highly connected data.</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Amazon OpenSearch Service (with k-NN capabilities) or Amazon MemoryDB for Redis (also featuring vector search capabilities) address the emerging need for vector similarity search.</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critical and often challenging aspect of this polyglot model lies in the "glue": ensuring data consistency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between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inherently disparate data silos.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typically necessitates managing eventual consistency at the application logic level and implementing complex Saga patterns¹.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patterns require careful orchestration, often relying on serverless functions like AWS Lambda, message queues such as Amazon SQS (Simple Queue Service), or stream processing services like Amazon Kinesis, to maintain eventual data integrity across the distributed landscape.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"Managed Native MMDBMS" Approach (Example: Azure Cosmos DB)</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is architecturally the closest counterpart to the ThemisDB concept and is explicitly cited as a reference within the ThemisDB documentation¹.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Cosmos DB is a prime example of a native multi-model database, meticulously built from the ground up to thrive in a cloud environment.</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direct comparison of the core engines reveals significant fundamental similarities alongside crucial differences:</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Canonical 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Cosmos DB employs an internal "Atom Record Sequence (ARS)" format¹ to logically project data as JSON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conceptually identical to ThemisDB's "Base Entity" blob approach¹, both aiming for a single, unified underlying representation.</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Multi-model Abstraction: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Cosmos DB provides various "APIs" (including SQL, Gremlin, MongoDB, and Table APIs) which act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above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ARS core as "personalities" or model translation layers¹.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abstraction is directly analogous to the "projection layers" (relational, graph, vector indices) implemented in ThemisDB¹.</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 Differences: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most salient distinctions between ThemisDB and Cosmos DB lie in their operational and performance models.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Cosmos DB completely abstracts performance through "Request Units" (RUs). Users purchase a guaranteed throughput without needing to directly manage or even be aware of the underlying hardware.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ThemisDB, conversely, explicitly exposes and grants control over the hardware hierarchy (RAM, VRAM, SSD), making it a central and integral component of its performance optimization strategy¹.</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Consistency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Cosmos DB is renowned for its five distinct and selectable consistency levels, ranging from "Strong" to "Eventual"¹, offering a flexible global trade-off between latency and data consistency.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ThemisDB, on the other hand, aims for robust, ACID-compliant transactions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within a single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achieved through Multi-Version Concurrency Control (MVCC)² and the capabilities of RocksDB's TransactionDB²¹.</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"Unified Backend / Data Fabric" Approach (Example: Google Cloud Platform)</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Platform (GCP) frequently adopts a hybrid approach, characterized by a strong emphasis on global scalability and deep, native integration with AI services.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Global ACID: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Spanner is a unique offering that provides globally distributed, strongly consistent relational transactions—a capability that neither ThemisDB nor Cosmos DB primarily address in this specific, globally distributed form.</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NoSQL/LSM: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Bigtable, considered the ideological ancestor of many LSM-Tree implementations, serves as a high-performance NoSQL backend.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Conceptually, its foundation is similar to ThemisDB's reliance on RocksDB¹.</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Vertex AI offers a deeply integrated "Vector Search" (formerly known as Matching Engine), which is often described as a separate yet tightly integrated system (analogous to the Faiss integration within ThemisDB¹).</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GCP's distinctive selling proposition lies less in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single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TMMDB engine (like Cosmos DB or ThemisDB) and more in its globally distributed, unified data platform where advanced AI services (Vertex AI) and powerful analytics platforms (BigQuery) seamlessly interact with transactional backends (Spanner, Bigtable).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holistic data fabric designed for complex, data-intensive workloads.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1: Multi-model Service Landscape of Hyperscalers (Mapping Matrix)</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table provides a comparative overview, contrasting the fragmented "Polyglot" landscape (particularly exemplified by AWS) with the consolidated "TMMDB" approach (represented by ThemisDB and Azure Cosmos DB). It visually illustrates the number of separate services that must be managed within the Polyglot model to achieve a multi-model functionality equivalent to that offered by ThemisDB's integrated design.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ThemisDB (Build Approach)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AWS (Polyglot Persistence)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(Managed MMDBMS)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GCP (Unified Backend)</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Entity + Relational Projection (Secondary Index)¹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RDS / Aurora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Cosmos DB (Core SQL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Spanner / Cloud SQL</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Entity (Canonical Core)¹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DynamoDB / DocumentDB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Cosmos DB (Core SQL API / MongoDB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Firestore / Bigtable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Entity (Node/Edge Blobs) + Graph Projection (Simulated Adjacency)¹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Neptune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Cosmos DB (Gremlin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pronounced; often partner solutions like Neo4j)</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Entity (incl.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Embedding) + Vector Projection (HNSW Index)¹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OpenSearch (k-NN) / MemoryDB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Cosmos DB (Vector Search, integrated)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Vertex AI Vector Search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Entity (PK, Blob) on RocksDB¹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DynamoDB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Cosmos DB (Table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Bigtable</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Architectural Comparative Analysis (ThemisDB vs. Hyperscaler)</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direct and detailed comparison of these architectures reveals fundamental trade-offs concerning performance, consistency, cost, and overall operational complexity.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Control, and the "Serverless" Dilemma</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ThemisDB (Build):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maximum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through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maximum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 is not only permitted but actively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forced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explicitly manage and optimize the memory hierarchy¹.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conscious use of low-level languages like C++ and Rust, direct SIMD parsing instructions¹, and direct GPU utilization¹ are all geared towards achieving "bare-metal" speeds that are exceedingly difficult to match with highly abstracted cloud 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is ideally suited for extremely low-latency workloads (e.g., real-time fraud detection leveraging RAM-pinned graph topologies¹) or for cost-effectively managing petabyte-scale workloads where per-request costs would become prohibitive.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Hyperscaler (Buy):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Primarily sells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convenience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abstraction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services like Cosmos DB (using Request Units) or DynamoDB (using IOPS), users effectively "buy" performance and scalability without the burden of managing the underlying hardware, intricate caching strategies, or even index placement.</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Dilemma: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very abstraction, while convenient, can quickly become a significant cost trap with unpredictable or poorly optimized queries.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like "noisy neighbor" problems (where one tenant's workload impacts another) or inefficient partition keys can lead to escalating bills.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ThemisDB deliberately trades the "easy scalability" and simplified management of hyperscalers for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predictable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albeit far more complex to manage,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predictability stems from the direct control over resources.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"Holy Grail": Efficient Hybrid Searches</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particular aspect highlights the principal strategic advantage of ThemisDB's True Multi-Model Database (TMMDB) approach.</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ThemisDB Advantage: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TMMDB architecture, with its unified canonical storage and consistent projection layers¹, is uniquely positioned to enable highly efficient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hybrid queries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meticulously explained in the ThemisDB design document².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"pre-filtering" mechanism described in the document¹ serves as a perfect illustration:</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Query Arrival: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complex query is initiated, for example: "Find similar images (requiring a vector search), but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among those with a year greater than 2020 (requiring a relational filter)."</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(Relational):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ThemisDB engine first efficiently scans its relational index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idx:year:2020:</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idx:year:2021:</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rapidly generate a candidate list of primary keys.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list is typically represented as an optimized data structure like a bit set¹.</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subsequent HNSW graph traversal for the vector search is intelligently modified.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navigates to nodes whose primary keys are present within the candidate bit set generated in Phase 1¹.</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sophisticated pre-filtering process is extraordinarily efficient, directly addressing the "Achilles heel" of many specialized vector databases, which often suffer from inefficient "post-filtering" (filtering results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after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potentially broad vector search)¹.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ThemisDB's integrated approach elegantly resolves this bottleneck.</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Disadvantage of Hyperscalers (Polyglot/AWS):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typical AWS polyglot model (as described in section 2.1), the same hybrid query would be catastrophically inefficient and resource-intensive.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necessitate:</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Querying Amazon RDS to identify all primary keys for images with a year greater than 2020 (potentially involving millions of records).</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Querying Amazon OpenSearch to find the top N similar vectors (potentially returning thousands of results from a much larger dataset).</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code (e.g., an AWS Lambda function) would then be required to retrieve results from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both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distinct, stateless databases and perform an expensive "join" or filtering operation (post-filtering) in 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multi-step process would lead to enormous latency, significant computational costs, and consequently, a much higher AWS bill.</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Hyperscaler Advantage (Managed MMDBMS):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Azure Cosmos DB, which shares a similar TMMDB architectural philosophy with ThemisDB, solves this problem just as effectively.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also features a unified storage system (ARS) and integrated indexed projections, it can efficiently execute complex hybrid queries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within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single engine, offering a similar level of performance and consistency to ThemisDB for these types of workloads.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Consistency Models and Transaction Complexity</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ThemisDB (ACID-Island):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TMMDB approach inherently offers strong ACID (Atomicity, Consistency, Isolation, Durability) guarantees¹ through Multi-Version Concurrency Control (MVCC)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within a single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critical operation of updating a "Base Entity" blob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associated index projections (relational, graph, vector) is performed atomically, typically utilizing a RocksDB WriteBatch¹.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integrated approach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dramatically simplifies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application logic, as developers do not need to manage distributed transactions.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Hyperscaler (Polyglot/AWS) (BASE-Ocean):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polyglot model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forces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adoption of the Saga pattern¹ at the application level.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developer updates a user record in RDS (relational) and subsequently updates their graph relationships in Neptune (graph), they are effectively managing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distributed transaction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across disparate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inherently complex, highly error-prone, and almost inevitably leads to eventual consistency¹.</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ThemisDB documentation² reveals an intriguing duality: it details both an "MVCC design" for internal ACID transactions² and a "SAGA Verifier"².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contradiction but rather a testament to a highly evolved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signifies that ThemisDB successfully solves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internal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consistency problems (the primary pain point of polyglot persistence) through robust ACID transactions.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Simultaneously, it acknowledges the necessity of interacting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external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world (other microservices, legacy systems) via sagas and provides sophisticated tools to verify and manage these external interactions effectively.</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crucial aspect, explicitly highlighted in the document¹, concerns the compliance implications, particularly with regulations like GDPR and the EU AI Act. The "right to be forgotten" (the requirement for reliable data deletion) is a nightmare in a polyglot persistence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demands complex compensating transactions (sagas) to reliably remove data from potentially dozens of services (e.g., RDS, Neptune, OpenSearch).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ThemisDB, this process is elegantly trivial and atomic: it merely involves setting a "tombstone marker"¹ for the "Base Entity" blob.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underlying MVCC transaction ensures that all its associated projections (indices) are consistently and immediately removed.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organizations subject to stringent regulatory requirements, this guaranteed, atomic deletion is a massive strategic and legal advantage, significantly reducing compliance risk.</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Adaptability vs. Administrative Overhead (Build vs. Buy)</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ThemisDB (Build):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Offers virtually infinite customizability.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kernel (written in C++/Rust) can be modified to suit extremely specific workloads, integrated libraries (such as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simdjson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Faiss, TBB) can be exchanged or fine-tuned¹, and memory allocation strategies¹ can be meticulously adjusted.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level of customization, however, is an enormous undertaking that demands a highly specialized and dedicated engineering team, as amply demonstrated by the comprehensive scope of the design documentation².</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Hyperscaler (Buy):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Offers (almost) zero maintenance overhead, epitomized by the "serverless" paradigm, but at the cost of (almost) zero customizability.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Developers are strictly limited to the provided APIs, predefined configurations, supported data types, and the vendor's specific performance model (e.g., Request Units).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represents a classic form of vendor lock-in, where the ease of use comes with limitations on flexibility.</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assessment clearly reveals a "TCO tipping point" (Total Cost of Ownership).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small to medium-sized workloads, the "buy" model (hyperscaler services) is almost always more cost-effective due to minimal upfront fixed costs (no dedicated engineering teams).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at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massive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(billions of requests, petabytes of data), this relationship reverses.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"pay-per-request" costs (e.g., RUs in Cosmos DB or IOPS in DynamoDB) scale linearly or even superlinearly with usage and can rapidly become ruinous.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"build" solution like ThemisDB, running optimized C++/Rust software on "bare-metal" hardware or reserved instances¹, has exceedingly high fixed costs (primarily engineering salaries) but significantly lower and more predictable marginal costs per transaction.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ThemisDB, therefore, represents a strategic investment specifically for workloads that unequivocally cross this "TCO tipping point."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4: Strategic Positioning and Total Cost of Ownership (TCO)</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architectural analysis conducted leads to a clear and precise strategic positioning for the ThemisDB architecture within the broader database landscape.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Analysis: Engineering Hours vs. "Request Units"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"Build vs. Buy" decision is, at its core, a comprehensive Total Cost of Ownership (TCO) analysis.</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(ThemisDB):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TCO is predominantly driven by the "CapEx" (in the sense of capital expenditure) associated with software development and the ongoing "OpEx" for infrastructure (servers, power, cooling) and the dedicated Site Reliability Engineering (SRE) team.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files² (encompassing AQL syntax, MVCC design, index maintenance strategies, detailed deployment guides, and compression benchmarks) unequivocally demonstrate the massive, continuous engineering effort required to develop and maintain such a sophisticated system.</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"Buy" (Hyperscaler):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TCO is primarily dominated by variable "OpEx" (pay-per-request charges, storage GB fees, network egress fees).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costs are initially low and attractive, but they become highly unpredictable and difficult to control under conditions of high, fluctuating, or unoptimized load.</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Choosing a "build" approach like ThemisDB is a substantial investment.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only yields a positive return if the workload meets very specific criteria: (a) it is extremely high in volume and consistently sustained, (b) it possesses exceptionally stringent performance requirements that hyperscalers cannot adequately meet, or (c) the "pay-per-request" costs would far exceed the salaries and overhead of a dedicated, highly skilled engineering team.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"Sovereign Cloud" and "Hybrid Cloud" Niche</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ThemisDB architecture is ideally positioned for "hybrid" or "private cloud" deployment scenarios.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compelling evidence for this is its described security architecture¹.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explicit integration of enterprise-grade security protocols such as Kerberos/GSSAPI and Apache Ranger¹ is highly characteristic of on-premise enterprise ecosystems (e.g., traditional Hadoop/Data Lake environments), rather than the proprietary IAM models prevalent in public cloud SaaS services.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positioning offers several clear strategic advantages: A company can operate ThemisDB on its own physical hardware (on-premises) or within a "Virtual Private Cloud" (VPC) hosted on hyperscalers like AWS, Azure, or GCP. This flexibility provides:</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Sovereignty: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AI/PII (Personally Identifiable Information) data (e.g., sensitive vector embeddings derived from customer documents) remains entirely within the company's own controlled environment, never leaving its designated boundaries.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Vendor Lock-in: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is inherently portable.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be seamlessly migrated from an on-premises deployment to AWS, then to GCP, and back again, as it fundamentally consists of "just" C++/Rust code running on a VM with RocksDB.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long-term flexibility and avoids reliance on a single cloud provider.</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company gains the ability to leverage "Reserved Instances" or its own dedicated hardware, thereby avoiding the unpredictable and potentially exorbitant costs associated with variable "serverless" Request Units.</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Comparison of Security and Governance Models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security approach of ThemisDB further solidifies its strategic positioning.</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ThemisDB: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Employs a "brownfield"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designed to integrate seamlessly into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existing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enterprise security frameworks (such as Kerberos, LDAP/AD via Ranger UserSync)¹.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functions as a "citizen" within the organization's established IT security landscape.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large, entrenched enterprises, this represents a decisive advantage, as it eliminates the need to build and manage a parallel, entirely separate security infrastructure.</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Hyperscaler: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their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proprietary, but often deeply integrated, security models (e.g., AWS IAM, Azure Active Directory).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these are extremely powerful and granular within their respective platforms, they are inherently platform-locked and necessitate the adoption of a "greenfield" security model specific to that cloud environment.</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Assessment: The "When" and "Why"</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analysis provides a clear and actionable set of criteria for making an informed "Build vs. Buy" decision.</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are Hyperscaler Services (Buy) Superior?</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vast majority (e.g., 90%) of standard, undifferentiated workloads.</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time-to-market (TTM) is the most critical factor, and the operational complexity needs to be minimized at all costs.</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workload is highly elastic, characterized by significant peaks but not consistently massive and sustained.</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specialized database engineering team (proficient in C++, Rust, and kernel-level optimization) is not available or not planned for the organization.</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When is a "Build" Solution like ThemisDB Superior?</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Extreme Performance Workloads: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sub-millisecond latencies are an absolute requirement, achievable only through deep, low-level hardware optimization (e.g., RAM-pinned graph topology¹) and a highly optimized C++/Rust software stack¹.</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Arbitrage at Scale: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 workload is so massive and constant that the "pay-per-request" costs of hyperscalers unequivocally exceed the (high) initial and ongoing development costs—this is the "TCO tipping point."</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 Hybrid Queries: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 core business logic fundamentally relies on efficient, atomic, hybrid queries (combining relational, graph, and vector searches) that are either impossible or catastrophically inefficient within the fragmented polyglot model¹.</w:t>
      </w: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Regulation and Data Sovereignty: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compliance mandates (such as GDPR, EU AI Act¹) and strict requirements for data sovereignty ("Sovereign AI") prohibit the use of public cloud multi-tenant services, or when atomic consistency (e.g., for data deletions) is a non-negotiable legal requirement.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2: Architectural Trade-offs: ThemisDB vs. Hyperscaler Models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table meticulously summarizes the strategic trade-offs, providing a clear framework for technical leadership making critical architectural decisions.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ThemisDB (Build / TMMDB)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Hyperscaler (Buy / Polyglot-AWS)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Hyperscaler (Buy / Managed MMDBMS-Cosmos DB)</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Hardware-Aware: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 control over RAM, VRAM, and NVMe SSD.¹ Maximum, but complex, optimization.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Abstracted (Silo):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Abstracted per service (IOPS, vCPU).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limited by application code ("glue").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Abstracted (Uniform):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Completely abstracted via "Request Units" (RUs). Easy to scale, but a potential cost trap.</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Transaction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ACID: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ACID guarantees (MVCC)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within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 for all models.²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External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Forces Saga Pattern¹ at the application level.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 error-prone.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Internal ACID / Configurable: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 guarantees within a partition; 5 global consistency levels.¹</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Hybrid Queries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Relational+Vector)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Highly Efficient: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Enables pre-filtering¹ through joint projections.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advantage.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Highly Inefficient: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post-filtering in the application (joining across 2+ databases).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and cost nightmare.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Highly Efficient: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 to ThemisDB, due to unified storage (ARS) and indexes.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Scaling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manual sharding / infrastructure management (K8s, VMs).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Specialized: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service scales independently (e.g., DynamoDB = excellent, RDS = difficult).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Elastic/Serverless: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Excellent, seamless global scaling (push-button).</w:t>
            </w:r>
            <w:r w:rsidDel="00000000" w:rsidR="00000000" w:rsidRPr="00000000">
              <w:rPr>
                <w:rtl w:val="0"/>
              </w:rPr>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TCO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Fixed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(Top-tier Engineering Team)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 Marginal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(Optimized software on raw 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Average Fixed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 DevOps complexity)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Variable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services + "glue" compute).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 Fixed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operation)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Very High Variable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(Pay-per-Request/RU).</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 Governance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"Brownfield":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Integrates with existing enterprise systems (Kerberos, Ranger).¹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"Greenfield" (Fragmented):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Proprietary IAM per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is difficult.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"Greenfield" (Integrated):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Proprietary Azure AD/RBAC.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Powerful, but platform lock-in.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Adaptability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Maximum: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control over the C++/Rust kernel, libraries, and hardware.¹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 of "black box"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 of the "black box" (API, RUs).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Maintenance Costs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Extremely High: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a dedicated SRE and database kernel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 of multiple heterogeneous services and the "glue"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Almost Zero: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 managed "serverless" service.</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Hybrid database architecture C++/Rust</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Gemini-Export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2025 at 11:44:32 CET</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Gemini-Export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2025 at 11:45:21 CET</w:t>
      </w:r>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