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THEMISDB: ARCHITEKTUR- UND STRATEGIEANALYSE 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Ein umfassender Forschungsbericht zur technologischen Souveränität in der öffentlichen Verwaltung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Datum:</w:t>
      </w:r>
      <w:r w:rsidDel="00000000" w:rsidR="00000000" w:rsidRPr="00000000">
        <w:rPr>
          <w:rtl w:val="0"/>
        </w:rPr>
        <w:t xml:space="preserve"> 21. November 2025 </w:t>
      </w:r>
      <w:r w:rsidDel="00000000" w:rsidR="00000000" w:rsidRPr="00000000">
        <w:rPr>
          <w:b w:val="1"/>
          <w:bCs w:val="1"/>
          <w:rtl w:val="0"/>
        </w:rPr>
        <w:t xml:space="preserve">Status:</w:t>
      </w:r>
      <w:r w:rsidDel="00000000" w:rsidR="00000000" w:rsidRPr="00000000">
        <w:rPr>
          <w:rtl w:val="0"/>
        </w:rPr>
        <w:t xml:space="preserve"> Öffentlich / Public Release </w:t>
      </w:r>
      <w:r w:rsidDel="00000000" w:rsidR="00000000" w:rsidRPr="00000000">
        <w:rPr>
          <w:b w:val="1"/>
          <w:bCs w:val="1"/>
          <w:rtl w:val="0"/>
        </w:rPr>
        <w:t xml:space="preserve">Version:</w:t>
      </w:r>
      <w:r w:rsidDel="00000000" w:rsidR="00000000" w:rsidRPr="00000000">
        <w:rPr>
          <w:rtl w:val="0"/>
        </w:rPr>
        <w:t xml:space="preserve"> 7.0 (Final Comprehensive) </w:t>
      </w:r>
      <w:r w:rsidDel="00000000" w:rsidR="00000000" w:rsidRPr="00000000">
        <w:rPr>
          <w:b w:val="1"/>
          <w:bCs w:val="1"/>
          <w:rtl w:val="0"/>
        </w:rPr>
        <w:t xml:space="preserve">Basis:</w:t>
      </w:r>
      <w:r w:rsidDel="00000000" w:rsidR="00000000" w:rsidRPr="00000000">
        <w:rPr>
          <w:rtl w:val="0"/>
        </w:rPr>
        <w:t xml:space="preserve"> Technisches Audit (Github), Sachstandsbericht Nov. 2025, Expertenbericht Wissenschaft </w:t>
      </w:r>
      <w:r w:rsidDel="00000000" w:rsidR="00000000" w:rsidRPr="00000000">
        <w:rPr>
          <w:b w:val="1"/>
          <w:bCs w:val="1"/>
          <w:rtl w:val="0"/>
        </w:rPr>
        <w:t xml:space="preserve">Lizenz:</w:t>
      </w:r>
      <w:r w:rsidDel="00000000" w:rsidR="00000000" w:rsidRPr="00000000">
        <w:rPr>
          <w:rtl w:val="0"/>
        </w:rPr>
        <w:t xml:space="preserve"> Open Source (MIT License mit Government-Klausel)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MANAGEMENT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Digitalisierung der deutschen Verwaltung steht am Scheideweg. Der Einsatz von KI-Systemen (RAG/LLM) ist alternativlos, um dem demografischen Wandel zu begegnen. Die bisherigen Architekturen scheiterten jedoch an der Vereinbarkeit von "KI-Flexibilität" und "rechtsstaatlicher Konsistenz".</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Dieser Bericht analysiert </w:t>
      </w:r>
      <w:r w:rsidDel="00000000" w:rsidR="00000000" w:rsidRPr="00000000">
        <w:rPr>
          <w:b w:val="1"/>
          <w:bCs w:val="1"/>
          <w:rtl w:val="0"/>
        </w:rPr>
        <w:t xml:space="preserve">ThemisDB</w:t>
      </w:r>
      <w:r w:rsidDel="00000000" w:rsidR="00000000" w:rsidRPr="00000000">
        <w:rPr>
          <w:rtl w:val="0"/>
        </w:rPr>
        <w:t xml:space="preserve">, eine native Multi-Modell-Datenbank, die als </w:t>
      </w:r>
      <w:r w:rsidDel="00000000" w:rsidR="00000000" w:rsidRPr="00000000">
        <w:rPr>
          <w:b w:val="1"/>
          <w:bCs w:val="1"/>
          <w:rtl w:val="0"/>
        </w:rPr>
        <w:t xml:space="preserve">private "Civic Tech"-Initiative</w:t>
      </w:r>
      <w:r w:rsidDel="00000000" w:rsidR="00000000" w:rsidRPr="00000000">
        <w:rPr>
          <w:rtl w:val="0"/>
        </w:rPr>
        <w:t xml:space="preserve"> von Verwaltungsmitarbeitern entwickelt wurde. Das Audit vom 20. November 2025 bestätigt: Das System hat den Status </w:t>
      </w:r>
      <w:r w:rsidDel="00000000" w:rsidR="00000000" w:rsidRPr="00000000">
        <w:rPr>
          <w:b w:val="1"/>
          <w:bCs w:val="1"/>
          <w:rtl w:val="0"/>
        </w:rPr>
        <w:t xml:space="preserve">"Production-Ready"</w:t>
      </w:r>
      <w:r w:rsidDel="00000000" w:rsidR="00000000" w:rsidRPr="00000000">
        <w:rPr>
          <w:rtl w:val="0"/>
        </w:rPr>
        <w:t xml:space="preserve"> erreicht. Es bietet eine technisch überlegene, lizenzkostenfreie und wissenschaftlich flankierte Alternative zu den Angeboten der US-Hyperscaler.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INHALTSVERZEICHNIS: DIE 10 THEMENFELDER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Strategische Genese:</w:t>
      </w:r>
      <w:r w:rsidDel="00000000" w:rsidR="00000000" w:rsidRPr="00000000">
        <w:rPr>
          <w:rtl w:val="0"/>
        </w:rPr>
        <w:t xml:space="preserve"> Vom Problem zur "Civic Tech" Innovation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Kern-Architektur:</w:t>
      </w:r>
      <w:r w:rsidDel="00000000" w:rsidR="00000000" w:rsidRPr="00000000">
        <w:rPr>
          <w:rtl w:val="0"/>
        </w:rPr>
        <w:t xml:space="preserve"> Native Multi-Modell vs. Polyglot Persistence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Speicher-Technologie:</w:t>
      </w:r>
      <w:r w:rsidDel="00000000" w:rsidR="00000000" w:rsidRPr="00000000">
        <w:rPr>
          <w:rtl w:val="0"/>
        </w:rPr>
        <w:t xml:space="preserve"> Performance &amp; Ingestion-Metriken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Search Engine:</w:t>
      </w:r>
      <w:r w:rsidDel="00000000" w:rsidR="00000000" w:rsidRPr="00000000">
        <w:rPr>
          <w:rtl w:val="0"/>
        </w:rPr>
        <w:t xml:space="preserve"> Der technologische Durchbruch (Pre-Filtering)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Query Language (AQL):</w:t>
      </w:r>
      <w:r w:rsidDel="00000000" w:rsidR="00000000" w:rsidRPr="00000000">
        <w:rPr>
          <w:rtl w:val="0"/>
        </w:rPr>
        <w:t xml:space="preserve"> Komplexität beherrschbar machen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Sicherheits-Architektur:</w:t>
      </w:r>
      <w:r w:rsidDel="00000000" w:rsidR="00000000" w:rsidRPr="00000000">
        <w:rPr>
          <w:rtl w:val="0"/>
        </w:rPr>
        <w:t xml:space="preserve"> Native Enterprise Security &amp; Compliance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Marktvergleich:</w:t>
      </w:r>
      <w:r w:rsidDel="00000000" w:rsidR="00000000" w:rsidRPr="00000000">
        <w:rPr>
          <w:rtl w:val="0"/>
        </w:rPr>
        <w:t xml:space="preserve"> ThemisDB vs. Hyperscaler (AWS/Azure)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Recht &amp; Lizenzierung:</w:t>
      </w:r>
      <w:r w:rsidDel="00000000" w:rsidR="00000000" w:rsidRPr="00000000">
        <w:rPr>
          <w:rtl w:val="0"/>
        </w:rPr>
        <w:t xml:space="preserve"> Das "Sovereign Open Source" Modell</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Wissenschaftliche Institutionalisierung:</w:t>
      </w:r>
      <w:r w:rsidDel="00000000" w:rsidR="00000000" w:rsidRPr="00000000">
        <w:rPr>
          <w:rtl w:val="0"/>
        </w:rPr>
        <w:t xml:space="preserve"> Risikominimierung &amp; Transfer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Roadmap &amp; Handlungsempfehlung:</w:t>
      </w:r>
      <w:r w:rsidDel="00000000" w:rsidR="00000000" w:rsidRPr="00000000">
        <w:rPr>
          <w:rtl w:val="0"/>
        </w:rPr>
        <w:t xml:space="preserve"> Der Weg zur Standardisierung</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STRATEGISCHE GENESE: VOM PROBLEM ZUR "CIVIC TECH" INNOVATION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Entwicklung von ThemisDB folgte nicht dem klassischen Beschaffungsweg ("Top-Down"), sondern entstand als </w:t>
      </w:r>
      <w:r w:rsidDel="00000000" w:rsidR="00000000" w:rsidRPr="00000000">
        <w:rPr>
          <w:b w:val="1"/>
          <w:bCs w:val="1"/>
          <w:rtl w:val="0"/>
        </w:rPr>
        <w:t xml:space="preserve">"Bottom-Up"-Innovation</w:t>
      </w:r>
      <w:r w:rsidDel="00000000" w:rsidR="00000000" w:rsidRPr="00000000">
        <w:rPr>
          <w:rtl w:val="0"/>
        </w:rPr>
        <w:t xml:space="preserve"> (Intrapreneurship).</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 Problem:</w:t>
      </w:r>
      <w:r w:rsidDel="00000000" w:rsidR="00000000" w:rsidRPr="00000000">
        <w:rPr>
          <w:rtl w:val="0"/>
        </w:rPr>
        <w:t xml:space="preserve"> Die offizielle "UDS3"-Strategie (Kopplung von Neo4j, ChromaDB, PostgreSQL) führte technisch zu inkonsistenten Datenzuständen ("Eventual Consistency"). Dies ist für rechtsverbindliche Verwaltungsakte (Bescheide) inakzeptabel.</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 Lösung:</w:t>
      </w:r>
      <w:r w:rsidDel="00000000" w:rsidR="00000000" w:rsidRPr="00000000">
        <w:rPr>
          <w:rtl w:val="0"/>
        </w:rPr>
        <w:t xml:space="preserve"> Verwaltungsmitarbeiter entwickelten in Eigeninitiative eine Engine, die exakt dieses Defizit behebt (ACID-Transaktionen über alle Modelle).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Bedeutung:</w:t>
      </w:r>
      <w:r w:rsidDel="00000000" w:rsidR="00000000" w:rsidRPr="00000000">
        <w:rPr>
          <w:rtl w:val="0"/>
        </w:rPr>
        <w:t xml:space="preserve"> Dies ist ein Paradebeispiel für </w:t>
      </w:r>
      <w:r w:rsidDel="00000000" w:rsidR="00000000" w:rsidRPr="00000000">
        <w:rPr>
          <w:b w:val="1"/>
          <w:bCs w:val="1"/>
          <w:rtl w:val="0"/>
        </w:rPr>
        <w:t xml:space="preserve">Civic Tech</w:t>
      </w:r>
      <w:r w:rsidDel="00000000" w:rsidR="00000000" w:rsidRPr="00000000">
        <w:rPr>
          <w:rtl w:val="0"/>
        </w:rPr>
        <w:t xml:space="preserve"> – Technologie, die aus der Mitte der Zivilgesellschaft/Verwaltung für das Gemeinwohl entsteht, anstatt eingekauft zu werden.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KERN-ARCHITEKTUR: NATIVE MULTI-MODELL VS. POLYGLOT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Alleinstellungsmerkmal von ThemisDB ist die Abkehr von "Klebstoff-Architekturen".</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Konzept:</w:t>
      </w:r>
      <w:r w:rsidDel="00000000" w:rsidR="00000000" w:rsidRPr="00000000">
        <w:rPr>
          <w:rtl w:val="0"/>
        </w:rPr>
        <w:t xml:space="preserve"> Anstatt Daten in Silos zu trennen, nutzt ThemisDB das </w:t>
      </w:r>
      <w:r w:rsidDel="00000000" w:rsidR="00000000" w:rsidRPr="00000000">
        <w:rPr>
          <w:b w:val="1"/>
          <w:bCs w:val="1"/>
          <w:rtl w:val="0"/>
        </w:rPr>
        <w:t xml:space="preserve">"Base Entity" Paradigma</w:t>
      </w:r>
      <w:r w:rsidDel="00000000" w:rsidR="00000000" w:rsidRPr="00000000">
        <w:rPr>
          <w:rtl w:val="0"/>
        </w:rPr>
        <w:t xml:space="preserve">. Jedes Datum (egal ob Vektor, Graph-Kante oder Dokument) ist ein binäres Objekt im selben Speicher.</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Konsistenz (ACID):</w:t>
      </w:r>
      <w:r w:rsidDel="00000000" w:rsidR="00000000" w:rsidRPr="00000000">
        <w:rPr>
          <w:rtl w:val="0"/>
        </w:rPr>
        <w:t xml:space="preserve"> Da alle Daten im selben Transaktions-Log (WAL) liegen, sind Änderungen atomar. Ein Update, das einen Vektor ändert und eine Kante löscht, passiert ganz oder gar nicht.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Vorteil:</w:t>
      </w:r>
      <w:r w:rsidDel="00000000" w:rsidR="00000000" w:rsidRPr="00000000">
        <w:rPr>
          <w:rtl w:val="0"/>
        </w:rPr>
        <w:t xml:space="preserve"> Dies eliminiert das fehleranfällige "Saga-Pattern", das bei Polyglot-Architekturen nötig ist, um Daten synchron zu halten.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SPEICHER-TECHNOLOGIE: PERFORMANCE &amp; METRIKEN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Basis bildet </w:t>
      </w:r>
      <w:r w:rsidDel="00000000" w:rsidR="00000000" w:rsidRPr="00000000">
        <w:rPr>
          <w:b w:val="1"/>
          <w:bCs w:val="1"/>
          <w:rtl w:val="0"/>
        </w:rPr>
        <w:t xml:space="preserve">RocksDB</w:t>
      </w:r>
      <w:r w:rsidDel="00000000" w:rsidR="00000000" w:rsidRPr="00000000">
        <w:rPr>
          <w:rtl w:val="0"/>
        </w:rPr>
        <w:t xml:space="preserve"> (LSM-Tree), optimiert für moderne NVMe-Hardware. Das Audit 2025 bestätigt beeindruckende Leistungsdaten auf Single-Node-Systemen:</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w:t>
      </w:r>
      <w:r w:rsidDel="00000000" w:rsidR="00000000" w:rsidRPr="00000000">
        <w:rPr>
          <w:rtl w:val="0"/>
        </w:rPr>
        <w:t xml:space="preserve"> &gt;45.000 Schreiboperationen pro Sekunde (Wichtig für Akten-Migration).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Latenz:</w:t>
      </w:r>
      <w:r w:rsidDel="00000000" w:rsidR="00000000" w:rsidRPr="00000000">
        <w:rPr>
          <w:rtl w:val="0"/>
        </w:rPr>
        <w:t xml:space="preserve"> Sub-Millisekunden-Antwortzeiten für Lesezugriffe (p50 &lt; 0.1ms).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Kompression:</w:t>
      </w:r>
      <w:r w:rsidDel="00000000" w:rsidR="00000000" w:rsidRPr="00000000">
        <w:rPr>
          <w:rtl w:val="0"/>
        </w:rPr>
        <w:t xml:space="preserve"> Nutzung von Gorilla-Compression für Zeitreihen (Faktor 10-20x) und LZ4 für Dokumente.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Effizienz:</w:t>
      </w:r>
      <w:r w:rsidDel="00000000" w:rsidR="00000000" w:rsidRPr="00000000">
        <w:rPr>
          <w:rtl w:val="0"/>
        </w:rPr>
        <w:t xml:space="preserve"> Das System ist auf "Scale-Up" (vertikale Skalierung) ausgelegt, was die Hardware-Ressourcen optimal nutzt und den Rechenzentrums-Footprint minimiert.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HYBRID SEARCH ENGINE: DER TECHNOLOGISCHE DURCHBRUCH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Für KI-Systeme (RAG) ist die Suche essenziell. ThemisDB implementiert hier einen entscheidenden Vorteil: </w:t>
      </w:r>
      <w:r w:rsidDel="00000000" w:rsidR="00000000" w:rsidRPr="00000000">
        <w:rPr>
          <w:b w:val="1"/>
          <w:bCs w:val="1"/>
          <w:rtl w:val="0"/>
        </w:rPr>
        <w:t xml:space="preserve">Pre-Filtering</w:t>
      </w:r>
      <w:r w:rsidDel="00000000" w:rsidR="00000000" w:rsidRPr="00000000">
        <w:rPr>
          <w:rtl w:val="0"/>
        </w:rPr>
        <w:t xml:space="preserv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Standard (Post-Filtering):</w:t>
      </w:r>
      <w:r w:rsidDel="00000000" w:rsidR="00000000" w:rsidRPr="00000000">
        <w:rPr>
          <w:rtl w:val="0"/>
        </w:rPr>
        <w:t xml:space="preserve"> Vektor-Datenbanken suchen erst nach Ähnlichkeit ("Finde 1000 Dokumente") und filtern dann ("Nur aus 2025"). Wenn die Top-Treffer alt sind, ist das Ergebnis leer.</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ThemisDB (Pre-Filtering):</w:t>
      </w:r>
      <w:r w:rsidDel="00000000" w:rsidR="00000000" w:rsidRPr="00000000">
        <w:rPr>
          <w:rtl w:val="0"/>
        </w:rPr>
        <w:t xml:space="preserve"> Die Engine nutzt relationale Indizes, um den Suchraum </w:t>
      </w:r>
      <w:r w:rsidDel="00000000" w:rsidR="00000000" w:rsidRPr="00000000">
        <w:rPr>
          <w:i w:val="1"/>
          <w:iCs w:val="1"/>
          <w:rtl w:val="0"/>
        </w:rPr>
        <w:t xml:space="preserve">vor</w:t>
      </w:r>
      <w:r w:rsidDel="00000000" w:rsidR="00000000" w:rsidRPr="00000000">
        <w:rPr>
          <w:rtl w:val="0"/>
        </w:rPr>
        <w:t xml:space="preserve"> der Vektorsuche auf relevante Daten einzuschränken.</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Ergebnis:</w:t>
      </w:r>
      <w:r w:rsidDel="00000000" w:rsidR="00000000" w:rsidRPr="00000000">
        <w:rPr>
          <w:rtl w:val="0"/>
        </w:rPr>
        <w:t xml:space="preserve"> 100% Treffergenauigkeit (Recall) bei massiv reduzierter CPU-Last. Dies ist für juristische Recherchen unverzichtbar.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ADVANCED QUERY LANGUAGE (AQL): KOMPLEXITÄT BEHERRSCHBAR MACHEN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neue Dokumentation (Nov 2025) zeigt, dass ThemisDB eine mächtige Abfragesprache (</w:t>
      </w:r>
      <w:r w:rsidDel="00000000" w:rsidR="00000000" w:rsidRPr="00000000">
        <w:rPr>
          <w:b w:val="1"/>
          <w:bCs w:val="1"/>
          <w:rtl w:val="0"/>
        </w:rPr>
        <w:t xml:space="preserve">AQL</w:t>
      </w:r>
      <w:r w:rsidDel="00000000" w:rsidR="00000000" w:rsidRPr="00000000">
        <w:rPr>
          <w:rtl w:val="0"/>
        </w:rPr>
        <w:t xml:space="preserve">) entwickelt hat, die SQL- und Graph-Konzepte vereint:</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Features:</w:t>
      </w:r>
      <w:r w:rsidDel="00000000" w:rsidR="00000000" w:rsidRPr="00000000">
        <w:rPr>
          <w:rtl w:val="0"/>
        </w:rPr>
        <w:t xml:space="preserve"> Unterstützt WITH (CTEs), Subqueries, FOR-Schleifen über Graphen und Vektor-Ähnlichkeit in einer Query.</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Temporale Abfragen:</w:t>
      </w:r>
      <w:r w:rsidDel="00000000" w:rsidR="00000000" w:rsidRPr="00000000">
        <w:rPr>
          <w:rtl w:val="0"/>
        </w:rPr>
        <w:t xml:space="preserve"> Funktionen wie bfsAtTime ermöglichen "Zeitreisen" im Datenbestand ("Wie sah der Graph zum Zeitpunkt des Bescheids aus?"). Dies ist der Schlüssel zur </w:t>
      </w:r>
      <w:r w:rsidDel="00000000" w:rsidR="00000000" w:rsidRPr="00000000">
        <w:rPr>
          <w:b w:val="1"/>
          <w:bCs w:val="1"/>
          <w:rtl w:val="0"/>
        </w:rPr>
        <w:t xml:space="preserve">Revisionssicherheit</w:t>
      </w:r>
      <w:r w:rsidDel="00000000" w:rsidR="00000000" w:rsidRPr="00000000">
        <w:rPr>
          <w:rtl w:val="0"/>
        </w:rPr>
        <w:t xml:space="preserve">.</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Optimizer:</w:t>
      </w:r>
      <w:r w:rsidDel="00000000" w:rsidR="00000000" w:rsidRPr="00000000">
        <w:rPr>
          <w:rtl w:val="0"/>
        </w:rPr>
        <w:t xml:space="preserve"> Ein kostenbasierter Optimizer entscheidet automatisch, ob erst der Graph traversiert oder erst der Index genutzt wird.</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SICHERHEITS-ARCHITEKTUR: NATIVE ENTERPRISE SECURITY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kritischer Meilenstein im Audit 2025 ist der Wegfall externer Abhängigkeiten (wie Apache Ranger). ThemisDB besitzt nun einen </w:t>
      </w:r>
      <w:r w:rsidDel="00000000" w:rsidR="00000000" w:rsidRPr="00000000">
        <w:rPr>
          <w:b w:val="1"/>
          <w:bCs w:val="1"/>
          <w:rtl w:val="0"/>
        </w:rPr>
        <w:t xml:space="preserve">nativen Security-Stack</w:t>
      </w:r>
      <w:r w:rsidDel="00000000" w:rsidR="00000000" w:rsidRPr="00000000">
        <w:rPr>
          <w:rtl w:val="0"/>
        </w:rPr>
        <w:t xml:space="preserve">:</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RBAC:</w:t>
      </w:r>
      <w:r w:rsidDel="00000000" w:rsidR="00000000" w:rsidRPr="00000000">
        <w:rPr>
          <w:rtl w:val="0"/>
        </w:rPr>
        <w:t xml:space="preserve"> Rollenbasierte Zugriffsrechte (Admin, Operator, Analyst) sind tief im C++ Kern verankert.</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w:t>
      </w:r>
      <w:r w:rsidDel="00000000" w:rsidR="00000000" w:rsidRPr="00000000">
        <w:rPr>
          <w:rtl w:val="0"/>
        </w:rPr>
        <w:t xml:space="preserve"> Protokolle werden mittels </w:t>
      </w:r>
      <w:r w:rsidDel="00000000" w:rsidR="00000000" w:rsidRPr="00000000">
        <w:rPr>
          <w:b w:val="1"/>
          <w:bCs w:val="1"/>
          <w:rtl w:val="0"/>
        </w:rPr>
        <w:t xml:space="preserve">Hash-Chains</w:t>
      </w:r>
      <w:r w:rsidDel="00000000" w:rsidR="00000000" w:rsidRPr="00000000">
        <w:rPr>
          <w:rtl w:val="0"/>
        </w:rPr>
        <w:t xml:space="preserve"> kryptografisch verkettet. Manipulationen sind mathematisch nachweisbar (Tamper-Proof).</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Secrets:</w:t>
      </w:r>
      <w:r w:rsidDel="00000000" w:rsidR="00000000" w:rsidRPr="00000000">
        <w:rPr>
          <w:rtl w:val="0"/>
        </w:rPr>
        <w:t xml:space="preserve"> Volle Integration mit HashiCorp Vault für Schlüsselmanagement.</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Compliance:</w:t>
      </w:r>
      <w:r w:rsidDel="00000000" w:rsidR="00000000" w:rsidRPr="00000000">
        <w:rPr>
          <w:rtl w:val="0"/>
        </w:rPr>
        <w:t xml:space="preserve"> Funktionen wie "Auto-Purge" (Löschen nach Frist) setzen DSGVO-Vorgaben technisch durch.</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MARKTVERGLEICH: THEMISDB VS. HYPERSCALER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direkte Vergleich zeigt, warum "Buy" (Hyperscaler) für diesen speziellen Anwendungsfall unterlegen ist.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Kriterium</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Hyperscaler (AWS / Azure)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ThemisDB (Sovereign Tech)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Architektur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Polyglot Persistence</w:t>
            </w:r>
            <w:r w:rsidDel="00000000" w:rsidR="00000000" w:rsidRPr="00000000">
              <w:rPr>
                <w:rtl w:val="0"/>
              </w:rPr>
              <w:t xml:space="preserve"> (Lose Kopplung)</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Native Multi-Model</w:t>
            </w:r>
            <w:r w:rsidDel="00000000" w:rsidR="00000000" w:rsidRPr="00000000">
              <w:rPr>
                <w:rtl w:val="0"/>
              </w:rPr>
              <w:t xml:space="preserve"> (Integrierter Kern)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Konsistenz</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Eventual (BASE)</w:t>
            </w:r>
            <w:r w:rsidDel="00000000" w:rsidR="00000000" w:rsidRPr="00000000">
              <w:rPr>
                <w:rtl w:val="0"/>
              </w:rPr>
              <w:t xml:space="preserve"> – Inkonsistenz-Risiko</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Strikt (ACID)</w:t>
            </w:r>
            <w:r w:rsidDel="00000000" w:rsidR="00000000" w:rsidRPr="00000000">
              <w:rPr>
                <w:rtl w:val="0"/>
              </w:rPr>
              <w:t xml:space="preserve"> – Rechtsverbindlich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Lizenzkosten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Hohe laufende OpEx (Miete/RUs)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0€</w:t>
            </w:r>
            <w:r w:rsidDel="00000000" w:rsidR="00000000" w:rsidRPr="00000000">
              <w:rPr>
                <w:rtl w:val="0"/>
              </w:rPr>
              <w:t xml:space="preserve"> (Open Source 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Vendor Lock-in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Hoch</w:t>
            </w:r>
            <w:r w:rsidDel="00000000" w:rsidR="00000000" w:rsidRPr="00000000">
              <w:rPr>
                <w:rtl w:val="0"/>
              </w:rPr>
              <w:t xml:space="preserve"> (Proprietäre APIs)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Keiner</w:t>
            </w:r>
            <w:r w:rsidDel="00000000" w:rsidR="00000000" w:rsidRPr="00000000">
              <w:rPr>
                <w:rtl w:val="0"/>
              </w:rPr>
              <w:t xml:space="preserve"> (Code gehört der Allgemeinheit)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RAG-Performance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Mittel (Netzwerk-Overhead)</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Exzellent</w:t>
            </w:r>
            <w:r w:rsidDel="00000000" w:rsidR="00000000" w:rsidRPr="00000000">
              <w:rPr>
                <w:rtl w:val="0"/>
              </w:rPr>
              <w:t xml:space="preserve"> (In-Memory Pre-Filtering)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Skalierung</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Horizontal (Unbegrenzt)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Vertikal (Single Node bis ~TB)</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Fazit:</w:t>
      </w:r>
      <w:r w:rsidDel="00000000" w:rsidR="00000000" w:rsidRPr="00000000">
        <w:rPr>
          <w:rtl w:val="0"/>
        </w:rPr>
        <w:t xml:space="preserve"> Hyperscaler gewinnen bei Petabyte-Datenmengen. ThemisDB gewinnt bei </w:t>
      </w:r>
      <w:r w:rsidDel="00000000" w:rsidR="00000000" w:rsidRPr="00000000">
        <w:rPr>
          <w:b w:val="1"/>
          <w:bCs w:val="1"/>
          <w:rtl w:val="0"/>
        </w:rPr>
        <w:t xml:space="preserve">Datenintegrität, Latenz und Souveränität</w:t>
      </w:r>
      <w:r w:rsidDel="00000000" w:rsidR="00000000" w:rsidRPr="00000000">
        <w:rPr>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RECHT &amp; LIZENZIERUNG: DAS "SOVEREIGN OPEN SOURCE" MODELL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Lizenzmodell ist eine strategische Innovation: </w:t>
      </w:r>
      <w:r w:rsidDel="00000000" w:rsidR="00000000" w:rsidRPr="00000000">
        <w:rPr>
          <w:b w:val="1"/>
          <w:bCs w:val="1"/>
          <w:rtl w:val="0"/>
        </w:rPr>
        <w:t xml:space="preserve">MIT-Lizenz mit Government-Klausel</w:t>
      </w:r>
      <w:r w:rsidDel="00000000" w:rsidR="00000000" w:rsidRPr="00000000">
        <w:rPr>
          <w:rtl w:val="0"/>
        </w:rPr>
        <w:t xml:space="preserve">.</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Freiheit:</w:t>
      </w:r>
      <w:r w:rsidDel="00000000" w:rsidR="00000000" w:rsidRPr="00000000">
        <w:rPr>
          <w:rtl w:val="0"/>
        </w:rPr>
        <w:t xml:space="preserve"> Entwickler können den Code frei nutzen (wie bei Standard-MIT).</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Schutz:</w:t>
      </w:r>
      <w:r w:rsidDel="00000000" w:rsidR="00000000" w:rsidRPr="00000000">
        <w:rPr>
          <w:rtl w:val="0"/>
        </w:rPr>
        <w:t xml:space="preserve"> Die Government-Klausel verhindert, dass Cloud-Anbieter den Code nehmen, als Service verkaufen ("Amazon-Problem") und den Code schließen.</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Lizenz-Audit:</w:t>
      </w:r>
      <w:r w:rsidDel="00000000" w:rsidR="00000000" w:rsidRPr="00000000">
        <w:rPr>
          <w:rtl w:val="0"/>
        </w:rPr>
        <w:t xml:space="preserve"> Die Prüfung aller verwendeten Bibliotheken (RocksDB, simdjson, Arrow, etc.) bestätigt, dass der gesamte Stack lizenzrechtlich sauber ("Clean") und kompatibel ist.</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WISSENSCHAFTLICHE INSTITUTIONALISIERUNG: RISIKOMINIMIERUNG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 ThemisDB eine private Initiative ist, besteht das Risiko der Abhängigkeit von wenigen Personen ("Wissensfalle"). Die Antwort ist eine </w:t>
      </w:r>
      <w:r w:rsidDel="00000000" w:rsidR="00000000" w:rsidRPr="00000000">
        <w:rPr>
          <w:b w:val="1"/>
          <w:bCs w:val="1"/>
          <w:rtl w:val="0"/>
        </w:rPr>
        <w:t xml:space="preserve">Public-Public-Partnership</w:t>
      </w:r>
      <w:r w:rsidDel="00000000" w:rsidR="00000000" w:rsidRPr="00000000">
        <w:rPr>
          <w:rtl w:val="0"/>
        </w:rPr>
        <w:t xml:space="preserve">:</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HPI / Uni Potsdam:</w:t>
      </w:r>
      <w:r w:rsidDel="00000000" w:rsidR="00000000" w:rsidRPr="00000000">
        <w:rPr>
          <w:rtl w:val="0"/>
        </w:rPr>
        <w:t xml:space="preserve"> Validieren den C++ Kern und nutzen ihn in der Lehre, um Nachwuchs auszubilden.</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BTU Cottbus:</w:t>
      </w:r>
      <w:r w:rsidDel="00000000" w:rsidR="00000000" w:rsidRPr="00000000">
        <w:rPr>
          <w:rtl w:val="0"/>
        </w:rPr>
        <w:t xml:space="preserve"> Führt Sicherheits-Audits durch.</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 Wildau:</w:t>
      </w:r>
      <w:r w:rsidDel="00000000" w:rsidR="00000000" w:rsidRPr="00000000">
        <w:rPr>
          <w:rtl w:val="0"/>
        </w:rPr>
        <w:t xml:space="preserve"> Integriert das System in Verwaltungsprozesse.</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Effekt:</w:t>
      </w:r>
      <w:r w:rsidDel="00000000" w:rsidR="00000000" w:rsidRPr="00000000">
        <w:rPr>
          <w:rtl w:val="0"/>
        </w:rPr>
        <w:t xml:space="preserve"> Das Wissen wird vom "Geheimwissen weniger" zum </w:t>
      </w:r>
      <w:r w:rsidDel="00000000" w:rsidR="00000000" w:rsidRPr="00000000">
        <w:rPr>
          <w:b w:val="1"/>
          <w:bCs w:val="1"/>
          <w:rtl w:val="0"/>
        </w:rPr>
        <w:t xml:space="preserve">öffentlichen Gemeingut</w:t>
      </w:r>
      <w:r w:rsidDel="00000000" w:rsidR="00000000" w:rsidRPr="00000000">
        <w:rPr>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ROADMAP &amp; HANDLUNGSEMPFEHLUNG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ThemisDB ist bereit für den Einsatz. Die Strategie lautet </w:t>
      </w:r>
      <w:r w:rsidDel="00000000" w:rsidR="00000000" w:rsidRPr="00000000">
        <w:rPr>
          <w:b w:val="1"/>
          <w:bCs w:val="1"/>
          <w:rtl w:val="0"/>
        </w:rPr>
        <w:t xml:space="preserve">"Adopt &amp; Professionalize"</w:t>
      </w:r>
      <w:r w:rsidDel="00000000" w:rsidR="00000000" w:rsidRPr="00000000">
        <w:rPr>
          <w:rtl w:val="0"/>
        </w:rPr>
        <w:t xml:space="preserve">.</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Sofort:</w:t>
      </w:r>
      <w:r w:rsidDel="00000000" w:rsidR="00000000" w:rsidRPr="00000000">
        <w:rPr>
          <w:rtl w:val="0"/>
        </w:rPr>
        <w:t xml:space="preserve"> Einsatz als Backend für den VCC-Piloten (Verwaltungsprozess-Backbone).</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 2026:</w:t>
      </w:r>
      <w:r w:rsidDel="00000000" w:rsidR="00000000" w:rsidRPr="00000000">
        <w:rPr>
          <w:rtl w:val="0"/>
        </w:rPr>
        <w:t xml:space="preserve"> Fokus der Entwicklung auf </w:t>
      </w:r>
      <w:r w:rsidDel="00000000" w:rsidR="00000000" w:rsidRPr="00000000">
        <w:rPr>
          <w:b w:val="1"/>
          <w:bCs w:val="1"/>
          <w:rtl w:val="0"/>
        </w:rPr>
        <w:t xml:space="preserve">Column-Level Encryption</w:t>
      </w:r>
      <w:r w:rsidDel="00000000" w:rsidR="00000000" w:rsidRPr="00000000">
        <w:rPr>
          <w:rtl w:val="0"/>
        </w:rPr>
        <w:t xml:space="preserve"> (letzte BSI-Lücke für VS-NfD).</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 2026:</w:t>
      </w:r>
      <w:r w:rsidDel="00000000" w:rsidR="00000000" w:rsidRPr="00000000">
        <w:rPr>
          <w:rtl w:val="0"/>
        </w:rPr>
        <w:t xml:space="preserve"> Entwicklung von horizontalem Sharding für föderale Skalierung.</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Strategisch:</w:t>
      </w:r>
      <w:r w:rsidDel="00000000" w:rsidR="00000000" w:rsidRPr="00000000">
        <w:rPr>
          <w:rtl w:val="0"/>
        </w:rPr>
        <w:t xml:space="preserve"> ThemisDB sollte im IT-Planungsrat als Referenzarchitektur für souveräne KI vorgestellt werden.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Abschlussbewertung:</w:t>
      </w:r>
      <w:r w:rsidDel="00000000" w:rsidR="00000000" w:rsidRPr="00000000">
        <w:rPr>
          <w:rtl w:val="0"/>
        </w:rPr>
        <w:t xml:space="preserve"> ThemisDB beweist, dass die öffentliche Verwaltung (durch ihre Mitarbeiter) in der Lage ist, technologische Lösungen zu schaffen, die den Marktstandards in den Bereichen Sicherheit und Konsistenz überlegen sind. Die Adoption dieser Software ist der effektivste Weg zur digitalen Souveränität.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