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Strategische Einordnung und komparative Analyse: Die ThemisDB-Architektur im Kontext der Hyperscaler-Datenbank-Ökosysteme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1: Definition des ThemisDB-Paradigmas als Vergleichsbasis (Die "Build"-Option)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vorliegenden technischen Dokumente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skizzieren die Architektur eines hochperformanten Multi-Modell-Datenbanksystems, intern als "ThemisDB"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bezeichnet. Um eine fundierte Einordnung gegenüber den Hyperscalern vornehmen zu können, muss zunächst das Kernparadigma dieser "Build"-Lösung definiert werden.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Die Kernarchitektur: Das "Native True Multi-Model"-Paradigma (TMMDB)</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Der ThemisDB-Entwurf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beschreibt eine "echte" Multi-Modell-Datenbank (MMDBMS). Das Fundament dieser Architektur ist ein "kanonischer Dokumentspeicherkern".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Jede logische Entität – unabhängig davon, ob es sich um eine relationale Zeile, einen Graph-Knoten, ein Vektor-Objekt oder ein Dokument handelt – wird als ein einziges, binär-optimiertes "Base Entity"-Blob gespeichert.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Design-Entscheidung stellt einen expliziten Gegensatz zu "Polyglot-Persistence"-Ansätzen dar, die mehrere separate Datenbank-Engines bündeln.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Führende native MMDBMS wie ArangoDB und Cosmos DB werden als Referenz für dieses Prinzip genannt, bei dem alle Datentypen in einer einzigen, kanonischen Repräsentation in einer einheitlichen Speicherschicht (unified storage layer) gespeichert werden.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ThemisDB zielt darauf ab, die systemische Komplexität von Polyglot Persistence in einer einzigen, kohärenten Engine zu konsolidieren.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Das LSM-Tree-Fundament: Eine schreiboptimierte Architektur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Physisch wird diese Sammlung von "Base Entity"-Blobs auf einer eingebetteten Key-Value-Storage-Engine (KV-Store) implementiert, die auf einem Log-Structured-Merge-Tree (LSM-Tree) basiert.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Dokumentation identifiziert RocksDB als die zugrundeliegende Speicher-Engine.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grundlegende Wahl maximiert </w:t>
      </w:r>
      <w:r w:rsidDel="00000000" w:rsidR="00000000" w:rsidRPr="00000000">
        <w:rPr>
          <w:rFonts w:ascii="Google Sans Text" w:cs="Google Sans Text" w:eastAsia="Google Sans Text" w:hAnsi="Google Sans Text"/>
          <w:i w:val="1"/>
          <w:iCs w:val="1"/>
          <w:color w:val="1b1c1d"/>
          <w:rtl w:val="0"/>
        </w:rPr>
        <w:t xml:space="preserve">inhärent</w:t>
      </w:r>
      <w:r w:rsidDel="00000000" w:rsidR="00000000" w:rsidRPr="00000000">
        <w:rPr>
          <w:rFonts w:ascii="Google Sans Text" w:cs="Google Sans Text" w:eastAsia="Google Sans Text" w:hAnsi="Google Sans Text"/>
          <w:color w:val="1b1c1d"/>
          <w:rtl w:val="0"/>
        </w:rPr>
        <w:t xml:space="preserve"> die Schreibleistung (Create, Update, Delete). Schreibvorgänge sind extrem schnelle, sequenzielle "append-only"-Operationen in eine In-Memory-Struktur (das Memtable).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Der Bericht stellt jedoch unmissverständlich klar, dass diese Architektur einen schwerwiegenden Kompromiss eingeht: Leseabfragen, die Filter auf Attribute anwenden (z. B. SELECT * FROM users WHERE age &gt; 30), sind "katastrophal" langsam, </w:t>
      </w:r>
      <w:r w:rsidDel="00000000" w:rsidR="00000000" w:rsidRPr="00000000">
        <w:rPr>
          <w:rFonts w:ascii="Google Sans Text" w:cs="Google Sans Text" w:eastAsia="Google Sans Text" w:hAnsi="Google Sans Text"/>
          <w:i w:val="1"/>
          <w:iCs w:val="1"/>
          <w:color w:val="1b1c1d"/>
          <w:rtl w:val="0"/>
        </w:rPr>
        <w:t xml:space="preserve">wenn</w:t>
      </w:r>
      <w:r w:rsidDel="00000000" w:rsidR="00000000" w:rsidRPr="00000000">
        <w:rPr>
          <w:rFonts w:ascii="Google Sans Text" w:cs="Google Sans Text" w:eastAsia="Google Sans Text" w:hAnsi="Google Sans Text"/>
          <w:color w:val="1b1c1d"/>
          <w:rtl w:val="0"/>
        </w:rPr>
        <w:t xml:space="preserve"> sie einen Full-Scan der Blobs erfordern würden.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Diese inhärente Leseschwäche </w:t>
      </w:r>
      <w:r w:rsidDel="00000000" w:rsidR="00000000" w:rsidRPr="00000000">
        <w:rPr>
          <w:rFonts w:ascii="Google Sans Text" w:cs="Google Sans Text" w:eastAsia="Google Sans Text" w:hAnsi="Google Sans Text"/>
          <w:i w:val="1"/>
          <w:iCs w:val="1"/>
          <w:color w:val="1b1c1d"/>
          <w:rtl w:val="0"/>
        </w:rPr>
        <w:t xml:space="preserve">erzwingt</w:t>
      </w:r>
      <w:r w:rsidDel="00000000" w:rsidR="00000000" w:rsidRPr="00000000">
        <w:rPr>
          <w:rFonts w:ascii="Google Sans Text" w:cs="Google Sans Text" w:eastAsia="Google Sans Text" w:hAnsi="Google Sans Text"/>
          <w:color w:val="1b1c1d"/>
          <w:rtl w:val="0"/>
        </w:rPr>
        <w:t xml:space="preserve"> architektonisch die Notwendigkeit der in Teil 2 von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beschriebenen Projektionsschichten.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Die "Layer" als Lese-Projektionen: Das Herzstück der Leseleistung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im Entwurf als "Layer" bezeichneten Komponenten sind </w:t>
      </w:r>
      <w:r w:rsidDel="00000000" w:rsidR="00000000" w:rsidRPr="00000000">
        <w:rPr>
          <w:rFonts w:ascii="Google Sans Text" w:cs="Google Sans Text" w:eastAsia="Google Sans Text" w:hAnsi="Google Sans Text"/>
          <w:i w:val="1"/>
          <w:iCs w:val="1"/>
          <w:color w:val="1b1c1d"/>
          <w:rtl w:val="0"/>
        </w:rPr>
        <w:t xml:space="preserve">keine</w:t>
      </w:r>
      <w:r w:rsidDel="00000000" w:rsidR="00000000" w:rsidRPr="00000000">
        <w:rPr>
          <w:rFonts w:ascii="Google Sans Text" w:cs="Google Sans Text" w:eastAsia="Google Sans Text" w:hAnsi="Google Sans Text"/>
          <w:color w:val="1b1c1d"/>
          <w:rtl w:val="0"/>
        </w:rPr>
        <w:t xml:space="preserve"> separaten Speichersysteme, wie man sie bei Polyglot Persistence finden würde. Es handelt sich um "leseoptimierte Indexprojektionen", die dynamisch aus den kanonischen "Base Entity"-Blobs abgeleitet werden.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Projektionen (Indizes) residieren physisch im </w:t>
      </w:r>
      <w:r w:rsidDel="00000000" w:rsidR="00000000" w:rsidRPr="00000000">
        <w:rPr>
          <w:rFonts w:ascii="Google Sans Text" w:cs="Google Sans Text" w:eastAsia="Google Sans Text" w:hAnsi="Google Sans Text"/>
          <w:i w:val="1"/>
          <w:iCs w:val="1"/>
          <w:color w:val="1b1c1d"/>
          <w:rtl w:val="0"/>
        </w:rPr>
        <w:t xml:space="preserve">selben</w:t>
      </w:r>
      <w:r w:rsidDel="00000000" w:rsidR="00000000" w:rsidRPr="00000000">
        <w:rPr>
          <w:rFonts w:ascii="Google Sans Text" w:cs="Google Sans Text" w:eastAsia="Google Sans Text" w:hAnsi="Google Sans Text"/>
          <w:color w:val="1b1c1d"/>
          <w:rtl w:val="0"/>
        </w:rPr>
        <w:t xml:space="preserve"> RocksDB KV-Store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bilden die Grundlage für alle performanten Leseoperationen, indem sie die langsame Blob-Deserialisierung umgehen: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Relationale Projektion:</w:t>
      </w:r>
      <w:r w:rsidDel="00000000" w:rsidR="00000000" w:rsidRPr="00000000">
        <w:rPr>
          <w:rFonts w:ascii="Google Sans Text" w:cs="Google Sans Text" w:eastAsia="Google Sans Text" w:hAnsi="Google Sans Text"/>
          <w:color w:val="1b1c1d"/>
          <w:rtl w:val="0"/>
        </w:rPr>
        <w:t xml:space="preserve"> Implementiert als klassische Sekundärindizes (z. B. idx:users:age:30:...), die einen Attributwert auf den Primärschlüssel des Base Entity-Blobs abbilden.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Graph-Projektion:</w:t>
      </w:r>
      <w:r w:rsidDel="00000000" w:rsidR="00000000" w:rsidRPr="00000000">
        <w:rPr>
          <w:rFonts w:ascii="Google Sans Text" w:cs="Google Sans Text" w:eastAsia="Google Sans Text" w:hAnsi="Google Sans Text"/>
          <w:color w:val="1b1c1d"/>
          <w:rtl w:val="0"/>
        </w:rPr>
        <w:t xml:space="preserve"> Da "Index-freie Adjazenz"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auf einem KV-Store unmöglich ist, wird die Adjazenz </w:t>
      </w:r>
      <w:r w:rsidDel="00000000" w:rsidR="00000000" w:rsidRPr="00000000">
        <w:rPr>
          <w:rFonts w:ascii="Google Sans Text" w:cs="Google Sans Text" w:eastAsia="Google Sans Text" w:hAnsi="Google Sans Text"/>
          <w:i w:val="1"/>
          <w:iCs w:val="1"/>
          <w:color w:val="1b1c1d"/>
          <w:rtl w:val="0"/>
        </w:rPr>
        <w:t xml:space="preserve">simuliert</w:t>
      </w:r>
      <w:r w:rsidDel="00000000" w:rsidR="00000000" w:rsidRPr="00000000">
        <w:rPr>
          <w:rFonts w:ascii="Google Sans Text" w:cs="Google Sans Text" w:eastAsia="Google Sans Text" w:hAnsi="Google Sans Text"/>
          <w:color w:val="1b1c1d"/>
          <w:rtl w:val="0"/>
        </w:rPr>
        <w:t xml:space="preserve">. Dedizierte "Outdex"- und "Index"-Schlüssel (z. B. graph:out:PK_Startknoten:...) ermöglichen hocheffiziente Präfix-Scans, die Graph-Traversierungen auf eine $O(k \cdot \log N)$-Operation reduzieren.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Vektor-Projektion:</w:t>
      </w:r>
      <w:r w:rsidDel="00000000" w:rsidR="00000000" w:rsidRPr="00000000">
        <w:rPr>
          <w:rFonts w:ascii="Google Sans Text" w:cs="Google Sans Text" w:eastAsia="Google Sans Text" w:hAnsi="Google Sans Text"/>
          <w:color w:val="1b1c1d"/>
          <w:rtl w:val="0"/>
        </w:rPr>
        <w:t xml:space="preserve"> Implementiert als separate ANN-Indexstruktur (z. B. HNSW-Graph), die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die Vektoren selbst, sondern Verweise auf die Primärschlüssel der Base Entities speichert.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Die Hardwarenahe Philosophie: Kontrolle als Leistungsmerkmal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fundamentalen Gegensatz zur "Black-Box"-Abstraktion der meisten Hyperscaler-Dienste basiert das ThemisDB-Design auf einer bewussten, expliziten und hardwarenahen Nutzung der Speicherhierarchie.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Der Entwurf ist nicht nur Software, sondern ein </w:t>
      </w:r>
      <w:r w:rsidDel="00000000" w:rsidR="00000000" w:rsidRPr="00000000">
        <w:rPr>
          <w:rFonts w:ascii="Google Sans Text" w:cs="Google Sans Text" w:eastAsia="Google Sans Text" w:hAnsi="Google Sans Text"/>
          <w:i w:val="1"/>
          <w:iCs w:val="1"/>
          <w:color w:val="1b1c1d"/>
          <w:rtl w:val="0"/>
        </w:rPr>
        <w:t xml:space="preserve">implizites Mandat für ein Hardware-Software-Co-Design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Leistungsversprechen sind direkt an die Annahme gekoppelt, dass der Betreiber die Kontrolle über die physische (oder virtualisierte) Hardware hat. Der Entwurf </w:t>
      </w:r>
      <w:r w:rsidDel="00000000" w:rsidR="00000000" w:rsidRPr="00000000">
        <w:rPr>
          <w:rFonts w:ascii="Google Sans Text" w:cs="Google Sans Text" w:eastAsia="Google Sans Text" w:hAnsi="Google Sans Text"/>
          <w:i w:val="1"/>
          <w:iCs w:val="1"/>
          <w:color w:val="1b1c1d"/>
          <w:rtl w:val="0"/>
        </w:rPr>
        <w:t xml:space="preserve">schreibt</w:t>
      </w:r>
      <w:r w:rsidDel="00000000" w:rsidR="00000000" w:rsidRPr="00000000">
        <w:rPr>
          <w:rFonts w:ascii="Google Sans Text" w:cs="Google Sans Text" w:eastAsia="Google Sans Text" w:hAnsi="Google Sans Text"/>
          <w:color w:val="1b1c1d"/>
          <w:rtl w:val="0"/>
        </w:rPr>
        <w:t xml:space="preserve"> die Platzierung von Datenkomponenten zur Maximierung der CRUD-Leistung vor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Das Write-Ahead Log (WAL) </w:t>
      </w:r>
      <w:r w:rsidDel="00000000" w:rsidR="00000000" w:rsidRPr="00000000">
        <w:rPr>
          <w:rFonts w:ascii="Google Sans Text" w:cs="Google Sans Text" w:eastAsia="Google Sans Text" w:hAnsi="Google Sans Text"/>
          <w:i w:val="1"/>
          <w:iCs w:val="1"/>
          <w:color w:val="1b1c1d"/>
          <w:rtl w:val="0"/>
        </w:rPr>
        <w:t xml:space="preserve">muss</w:t>
      </w:r>
      <w:r w:rsidDel="00000000" w:rsidR="00000000" w:rsidRPr="00000000">
        <w:rPr>
          <w:rFonts w:ascii="Google Sans Text" w:cs="Google Sans Text" w:eastAsia="Google Sans Text" w:hAnsi="Google Sans Text"/>
          <w:color w:val="1b1c1d"/>
          <w:rtl w:val="0"/>
        </w:rPr>
        <w:t xml:space="preserve"> auf der schnellsten persistenten Schicht (NVMe-SSD) liegen, da es die Schreiblatenz definiert.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Das LSM-Tree Memtable und der Block Cache </w:t>
      </w:r>
      <w:r w:rsidDel="00000000" w:rsidR="00000000" w:rsidRPr="00000000">
        <w:rPr>
          <w:rFonts w:ascii="Google Sans Text" w:cs="Google Sans Text" w:eastAsia="Google Sans Text" w:hAnsi="Google Sans Text"/>
          <w:i w:val="1"/>
          <w:iCs w:val="1"/>
          <w:color w:val="1b1c1d"/>
          <w:rtl w:val="0"/>
        </w:rPr>
        <w:t xml:space="preserve">müssen</w:t>
      </w:r>
      <w:r w:rsidDel="00000000" w:rsidR="00000000" w:rsidRPr="00000000">
        <w:rPr>
          <w:rFonts w:ascii="Google Sans Text" w:cs="Google Sans Text" w:eastAsia="Google Sans Text" w:hAnsi="Google Sans Text"/>
          <w:color w:val="1b1c1d"/>
          <w:rtl w:val="0"/>
        </w:rPr>
        <w:t xml:space="preserve"> im Haupt-RAM (DRAM) liegen, um Schreib-Ingestion und Lese-Caching zu beschleunigen.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Kritische Index-Komponenten, wie die "oberen Schichten" des HNSW-Graphen (die "Autobahnen")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oder die gesamte "Hot"-Graphtopologie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müssen</w:t>
      </w:r>
      <w:r w:rsidDel="00000000" w:rsidR="00000000" w:rsidRPr="00000000">
        <w:rPr>
          <w:rFonts w:ascii="Google Sans Text" w:cs="Google Sans Text" w:eastAsia="Google Sans Text" w:hAnsi="Google Sans Text"/>
          <w:color w:val="1b1c1d"/>
          <w:rtl w:val="0"/>
        </w:rPr>
        <w:t xml:space="preserve"> permanent im RAM "gepinnt" werden, um Latenzen im Sub-Millisekunden-Bereich zu erreichen.</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GPU-VRAM wird explizit als Beschleuniger-Schicht für rechenintensive Batch-Vektor-Suchen (mittels Faiss) eingeplant.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Philosophie setzt sich auf der Software-Ebene fort, indem sie hardwarenahe Code-Optimierung (C++/Rust), SIMD-Instruktionen (z. B. simdjson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Task-basierten Parallelismus (Intel TBB, Rayon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spaltenbasierte In-Memory-Verarbeitung (Apache Arrow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fordert.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Dieses Design positioniert ThemisDB in fundamentaler Opposition zum "Serverless"-Paradigma der Hyperscaler, das Hardware-Abstraktion als primären Wert verkauft. ThemisDB zielt auf Workloads ab, bei denen diese Abstraktion ein Hindernis (Latenz, Unvorhersehbarkeit, Kosten) darstellt und explizite Kontrolle ein strategischer Vorteil ist.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Kombination aus (1) dem Bedarf an Hardware-Kontrolle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(2) der expliziten Integration von Enterprise-Sicherheitsstandards wie Kerberos und Apache Ranger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(3) der Bereitstellung von Compliance-Tools wie einem "PII Manager" und "Audit Log Viewer"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zeichnet ein klares Bild: ThemisDB ist als einsetzbares Artefakt für "On-Premise"- oder "Sovereign/Private Cloud"-Deployments konzipiert. Die Zielgruppe sind große, regulierte Unternehmen (Banken, Gesundheitswesen, Regierung), die die Leistung einer modernen KI-Datenbank (Vektor, Graph) benötigen, aber aus regulatorischen Gründen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oder Kostenaspekten bei extremer Skalierung die Public-Cloud-Angebote meiden müssen.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2: Das Lösungsportfolio der Hyperscaler (Die "Buy"-Optionen)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"Build"-Option von ThemisDB steht einem reifen Markt von "Buy"-Diensten der Hyperscaler gegenüber. Diese verfolgen primär zwei unterschiedliche Strategien, um Multi-Modell-Anforderungen zu erfüllen.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Das "Polyglot Persistence"-Paradigma (Beispiel: AWS)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"Polyglot Persistence"-Paradigma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ist die Antithese zum TMMDB-Ansatz von ThemisDB. Es postuliert, dass kein einzelnes System alle Aufgaben optimal lösen kann. Stattdessen wird ein "Best-of-Breed"-Ansatz verfolgt, bei dem für jede Aufgabe die am besten geeignete, spezialisierte Datenbank verwendet wird.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AWS-Ökosystem ist das prominenteste Beispiel für diese Strategie und bietet einen "Daten-Lego"-Baukasten:</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Relational:</w:t>
      </w:r>
      <w:r w:rsidDel="00000000" w:rsidR="00000000" w:rsidRPr="00000000">
        <w:rPr>
          <w:rFonts w:ascii="Google Sans Text" w:cs="Google Sans Text" w:eastAsia="Google Sans Text" w:hAnsi="Google Sans Text"/>
          <w:color w:val="1b1c1d"/>
          <w:rtl w:val="0"/>
        </w:rPr>
        <w:t xml:space="preserve"> Amazon RDS oder Amazon Aurora (für SQL-Workloads).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Dokument/Key-Value:</w:t>
      </w:r>
      <w:r w:rsidDel="00000000" w:rsidR="00000000" w:rsidRPr="00000000">
        <w:rPr>
          <w:rFonts w:ascii="Google Sans Text" w:cs="Google Sans Text" w:eastAsia="Google Sans Text" w:hAnsi="Google Sans Text"/>
          <w:color w:val="1b1c1d"/>
          <w:rtl w:val="0"/>
        </w:rPr>
        <w:t xml:space="preserve"> Amazon DynamoDB (für massive Skalierbarkeit bei Key-Value-Mustern).</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w:t>
      </w:r>
      <w:r w:rsidDel="00000000" w:rsidR="00000000" w:rsidRPr="00000000">
        <w:rPr>
          <w:rFonts w:ascii="Google Sans Text" w:cs="Google Sans Text" w:eastAsia="Google Sans Text" w:hAnsi="Google Sans Text"/>
          <w:color w:val="1b1c1d"/>
          <w:rtl w:val="0"/>
        </w:rPr>
        <w:t xml:space="preserve"> Amazon Neptune (ein separater, verwalteter Graph-Datenbankdienst).</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Vektor:</w:t>
      </w:r>
      <w:r w:rsidDel="00000000" w:rsidR="00000000" w:rsidRPr="00000000">
        <w:rPr>
          <w:rFonts w:ascii="Google Sans Text" w:cs="Google Sans Text" w:eastAsia="Google Sans Text" w:hAnsi="Google Sans Text"/>
          <w:color w:val="1b1c1d"/>
          <w:rtl w:val="0"/>
        </w:rPr>
        <w:t xml:space="preserve"> Amazon OpenSearch Service (mit k-NN-Fähigkeiten) oder Amazon MemoryDB für Redis (mit Vektor-Suchfunktionen).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kritische Aspekt dieses Modells ist der "Klebstoff". Die Datenkonsistenz </w:t>
      </w:r>
      <w:r w:rsidDel="00000000" w:rsidR="00000000" w:rsidRPr="00000000">
        <w:rPr>
          <w:rFonts w:ascii="Google Sans Text" w:cs="Google Sans Text" w:eastAsia="Google Sans Text" w:hAnsi="Google Sans Text"/>
          <w:i w:val="1"/>
          <w:iCs w:val="1"/>
          <w:color w:val="1b1c1d"/>
          <w:rtl w:val="0"/>
        </w:rPr>
        <w:t xml:space="preserve">zwischen</w:t>
      </w:r>
      <w:r w:rsidDel="00000000" w:rsidR="00000000" w:rsidRPr="00000000">
        <w:rPr>
          <w:rFonts w:ascii="Google Sans Text" w:cs="Google Sans Text" w:eastAsia="Google Sans Text" w:hAnsi="Google Sans Text"/>
          <w:color w:val="1b1c1d"/>
          <w:rtl w:val="0"/>
        </w:rPr>
        <w:t xml:space="preserve"> diesen Datensilos muss auf der Ebene der Anwendungslogik verwaltet werden. Dies erzwingt typischerweise Eventual Consistency und die Implementierung komplexer Saga-Patterns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durch Dienste wie AWS Lambda, Amazon SQS (Simple Queue Service) oder Amazon Kinesis orchestriert werden müssen.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Der "Managed Native MMDBMS"-Ansatz (Beispiel: Azure Cosmos DB)</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Ansatz ist dem ThemisDB-Konzept architektonisch am ähnlichsten und wird in der ThemisDB-Dokumentation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direkt als Referenz genannt. Azure Cosmos DB ist eine native Multi-Modell-Datenbank, die von Grund auf für die Cloud entwickelt wurde.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Ein Vergleich der Kern-Engines zeigt fundamentale Ähnlichkeiten und entscheidende Unterschiede: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Kanonischer Speicher:</w:t>
      </w:r>
      <w:r w:rsidDel="00000000" w:rsidR="00000000" w:rsidRPr="00000000">
        <w:rPr>
          <w:rFonts w:ascii="Google Sans Text" w:cs="Google Sans Text" w:eastAsia="Google Sans Text" w:hAnsi="Google Sans Text"/>
          <w:color w:val="1b1c1d"/>
          <w:rtl w:val="0"/>
        </w:rPr>
        <w:t xml:space="preserve"> Cosmos DB verwendet ein internes "Atom-Record-Sequence (ARS)"-Format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um Daten logisch als JSON-Dokumente zu projizieren. Dies ist konzeptionell identisch mit dem "Base Entity"-Blob-Ansatz von ThemisDB.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Multi-Modell-Abstraktion:</w:t>
      </w:r>
      <w:r w:rsidDel="00000000" w:rsidR="00000000" w:rsidRPr="00000000">
        <w:rPr>
          <w:rFonts w:ascii="Google Sans Text" w:cs="Google Sans Text" w:eastAsia="Google Sans Text" w:hAnsi="Google Sans Text"/>
          <w:color w:val="1b1c1d"/>
          <w:rtl w:val="0"/>
        </w:rPr>
        <w:t xml:space="preserve"> Cosmos DB bietet verschiedene "APIs" (SQL, Gremlin, MongoDB, Table), die </w:t>
      </w:r>
      <w:r w:rsidDel="00000000" w:rsidR="00000000" w:rsidRPr="00000000">
        <w:rPr>
          <w:rFonts w:ascii="Google Sans Text" w:cs="Google Sans Text" w:eastAsia="Google Sans Text" w:hAnsi="Google Sans Text"/>
          <w:i w:val="1"/>
          <w:iCs w:val="1"/>
          <w:color w:val="1b1c1d"/>
          <w:rtl w:val="0"/>
        </w:rPr>
        <w:t xml:space="preserve">über</w:t>
      </w:r>
      <w:r w:rsidDel="00000000" w:rsidR="00000000" w:rsidRPr="00000000">
        <w:rPr>
          <w:rFonts w:ascii="Google Sans Text" w:cs="Google Sans Text" w:eastAsia="Google Sans Text" w:hAnsi="Google Sans Text"/>
          <w:color w:val="1b1c1d"/>
          <w:rtl w:val="0"/>
        </w:rPr>
        <w:t xml:space="preserve"> dem ARS-Kern als "Persönlichkeiten" oder Modellübersetzungsschichten (model translation layer)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agieren. Dies ist wiederum direkt analog zu den "Projektionsschichten" (relationale, graphische, vektorielle Indizes) von ThemisDB.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Hauptunterschiede:</w:t>
      </w:r>
      <w:r w:rsidDel="00000000" w:rsidR="00000000" w:rsidRPr="00000000">
        <w:rPr>
          <w:rFonts w:ascii="Google Sans Text" w:cs="Google Sans Text" w:eastAsia="Google Sans Text" w:hAnsi="Google Sans Text"/>
          <w:color w:val="1b1c1d"/>
          <w:rtl w:val="0"/>
        </w:rPr>
        <w:t xml:space="preserve"> Die zentralen Unterschiede liegen im Betriebs- und Leistungsmodell.</w:t>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Performance-Modell:</w:t>
      </w:r>
      <w:r w:rsidDel="00000000" w:rsidR="00000000" w:rsidRPr="00000000">
        <w:rPr>
          <w:rFonts w:ascii="Google Sans Text" w:cs="Google Sans Text" w:eastAsia="Google Sans Text" w:hAnsi="Google Sans Text"/>
          <w:color w:val="1b1c1d"/>
          <w:rtl w:val="0"/>
        </w:rPr>
        <w:t xml:space="preserve"> Cosmos DB abstrahiert die Leistung vollständig über "Request Units" (RUs). Der Benutzer kauft einen garantierten Durchsatz, ohne die zugrundeliegende Hardware zu verwalten. ThemisDB hingegen legt die Kontrolle über die Hardware-Hierarchie (RAM, VRAM, SSD) offen und macht sie zu einem zentralen Bestandteil der Leistungsoptimierung.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D">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Konsistenzmodell:</w:t>
      </w:r>
      <w:r w:rsidDel="00000000" w:rsidR="00000000" w:rsidRPr="00000000">
        <w:rPr>
          <w:rFonts w:ascii="Google Sans Text" w:cs="Google Sans Text" w:eastAsia="Google Sans Text" w:hAnsi="Google Sans Text"/>
          <w:color w:val="1b1c1d"/>
          <w:rtl w:val="0"/>
        </w:rPr>
        <w:t xml:space="preserve"> Cosmos DB ist bekannt für seine fünf wählbaren Konsistenzstufen, von "Strong" bis "Eventual"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einen globalen Kompromiss zwischen Latenz und Konsistenz ermöglichen. ThemisDB zielt auf starke, ACID-konforme Transaktionen innerhalb einer einzelnen Engine ab, die über MVCC (Multi-Version Concurrency Control)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RocksDBs TransactionDB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realisiert werden.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Der "Unified Backend / Data Fabric"-Ansatz (Beispiel: Google Cloud Platform)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Google Cloud Platform (GCP) verfolgt oft einen hybriden Ansatz, der sich auf globale Skalierbarkeit und eine tiefe, native KI-Integration konzentriert.</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Globales ACID:</w:t>
      </w:r>
      <w:r w:rsidDel="00000000" w:rsidR="00000000" w:rsidRPr="00000000">
        <w:rPr>
          <w:rFonts w:ascii="Google Sans Text" w:cs="Google Sans Text" w:eastAsia="Google Sans Text" w:hAnsi="Google Sans Text"/>
          <w:color w:val="1b1c1d"/>
          <w:rtl w:val="0"/>
        </w:rPr>
        <w:t xml:space="preserve"> Google Spanner bietet global verteilte, stark konsistente relationale Transaktionen – eine Fähigkeit, die weder ThemisDB noch Cosmos DB in dieser Form primär adressieren.</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NoSQL/LSM:</w:t>
      </w:r>
      <w:r w:rsidDel="00000000" w:rsidR="00000000" w:rsidRPr="00000000">
        <w:rPr>
          <w:rFonts w:ascii="Google Sans Text" w:cs="Google Sans Text" w:eastAsia="Google Sans Text" w:hAnsi="Google Sans Text"/>
          <w:color w:val="1b1c1d"/>
          <w:rtl w:val="0"/>
        </w:rPr>
        <w:t xml:space="preserve"> Google Bigtable, der ideologische Vorfahre vieler LSM-Tree-Implementierungen, dient als hochperformantes NoSQL-Backend, das konzeptionell dem RocksDB-Fundament von ThemisDB ähnelt.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KI-Integration:</w:t>
      </w:r>
      <w:r w:rsidDel="00000000" w:rsidR="00000000" w:rsidRPr="00000000">
        <w:rPr>
          <w:rFonts w:ascii="Google Sans Text" w:cs="Google Sans Text" w:eastAsia="Google Sans Text" w:hAnsi="Google Sans Text"/>
          <w:color w:val="1b1c1d"/>
          <w:rtl w:val="0"/>
        </w:rPr>
        <w:t xml:space="preserve"> Google Vertex AI bietet eine stark integrierte "Vector Search" (ehemals Matching Engine), die oft als separates, aber eng verzahntes System (ähnlich der Faiss-Integration in ThemisDB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agiert.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GCPs Alleinstellungsmerkmal liegt weniger in einer </w:t>
      </w:r>
      <w:r w:rsidDel="00000000" w:rsidR="00000000" w:rsidRPr="00000000">
        <w:rPr>
          <w:rFonts w:ascii="Google Sans Text" w:cs="Google Sans Text" w:eastAsia="Google Sans Text" w:hAnsi="Google Sans Text"/>
          <w:i w:val="1"/>
          <w:iCs w:val="1"/>
          <w:color w:val="1b1c1d"/>
          <w:rtl w:val="0"/>
        </w:rPr>
        <w:t xml:space="preserve">einzigen</w:t>
      </w:r>
      <w:r w:rsidDel="00000000" w:rsidR="00000000" w:rsidRPr="00000000">
        <w:rPr>
          <w:rFonts w:ascii="Google Sans Text" w:cs="Google Sans Text" w:eastAsia="Google Sans Text" w:hAnsi="Google Sans Text"/>
          <w:color w:val="1b1c1d"/>
          <w:rtl w:val="0"/>
        </w:rPr>
        <w:t xml:space="preserve"> TMMDB-Engine (wie Cosmos DB oder ThemisDB) als vielmehr in einer global verteilten, einheitlichen Datenplattform, bei der KI-Dienste (Vertex AI) und Analytik (BigQuery) nahtlos mit den transaktionalen Backends (Spanner, Bigtable) interagieren.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Tabelle 1: Multi-Modell-Servicelandschaft der Hyperscaler (Mapping-Matrix)</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folgende Tabelle stellt die fragmentierte "Polyglot"-Landschaft (insb. AWS) dem konsolidierten "TMMDB"-Ansatz (ThemisDB, Cosmos DB) gegenüber. Sie verdeutlicht, wie viele separate Dienste im Polyglot-Modell verwaltet werden müssen, um die gleiche Multi-Modell-Funktionalität wie in ThemisDB zu erreichen.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Datenmodell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ThemisDB (Build-Ansatz)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AWS (Polyglot 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Azure (Managed MMDBMS)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GCP (Unified 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Relational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 Entity + Relationale Projektion (Sekundärindex)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Amazon RDS / Aurora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Azure Cosmos DB (Core SQL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Google Spanner / Cloud SQL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Dokument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 Entity (Kanonischer Kern)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Amazon DynamoDB / DocumentDB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Azure Cosmos DB (Core SQL API / MongoDB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Google Firestore / Bigtable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 Entity (Knoten/Kanten-Blobs) + Graph-Projektion (Simulierte Adjazenz)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Amazon Neptune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Azure Cosmos DB (Gremlin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(Weniger ausgeprägt; oft Partnerlösungen wie Neo4j)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Vektor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 Entity (inkl. Embedding) + Vektor-Projektion (HNSW-Index)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Amazon OpenSearch (k-NN) / MemoryDB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Azure Cosmos DB (Vector Search, integriert)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Google Vertex AI Vector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 Entity (PK, Blob) auf RocksDB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Amazon DynamoDB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Azure Cosmos DB (Table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Google Bigtable</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3: Architektonische Komparativanalyse (ThemisDB vs. Hyperscaler)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direkte Vergleich der Architekturen offenbart fundamentale Kompromisse in Bezug auf Leistung, Konsistenz, Kosten und Komplexität.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Leistung, Kontrolle und das "Serverless"-Dilemma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ThemisDB (Build):</w:t>
      </w:r>
      <w:r w:rsidDel="00000000" w:rsidR="00000000" w:rsidRPr="00000000">
        <w:rPr>
          <w:rFonts w:ascii="Google Sans Text" w:cs="Google Sans Text" w:eastAsia="Google Sans Text" w:hAnsi="Google Sans Text"/>
          <w:color w:val="1b1c1d"/>
          <w:rtl w:val="0"/>
        </w:rPr>
        <w:t xml:space="preserve"> Bietet </w:t>
      </w:r>
      <w:r w:rsidDel="00000000" w:rsidR="00000000" w:rsidRPr="00000000">
        <w:rPr>
          <w:rFonts w:ascii="Google Sans Text" w:cs="Google Sans Text" w:eastAsia="Google Sans Text" w:hAnsi="Google Sans Text"/>
          <w:i w:val="1"/>
          <w:iCs w:val="1"/>
          <w:color w:val="1b1c1d"/>
          <w:rtl w:val="0"/>
        </w:rPr>
        <w:t xml:space="preserve">maximale</w:t>
      </w:r>
      <w:r w:rsidDel="00000000" w:rsidR="00000000" w:rsidRPr="00000000">
        <w:rPr>
          <w:rFonts w:ascii="Google Sans Text" w:cs="Google Sans Text" w:eastAsia="Google Sans Text" w:hAnsi="Google Sans Text"/>
          <w:color w:val="1b1c1d"/>
          <w:rtl w:val="0"/>
        </w:rPr>
        <w:t xml:space="preserve"> Leistung durch </w:t>
      </w:r>
      <w:r w:rsidDel="00000000" w:rsidR="00000000" w:rsidRPr="00000000">
        <w:rPr>
          <w:rFonts w:ascii="Google Sans Text" w:cs="Google Sans Text" w:eastAsia="Google Sans Text" w:hAnsi="Google Sans Text"/>
          <w:i w:val="1"/>
          <w:iCs w:val="1"/>
          <w:color w:val="1b1c1d"/>
          <w:rtl w:val="0"/>
        </w:rPr>
        <w:t xml:space="preserve">maximale</w:t>
      </w:r>
      <w:r w:rsidDel="00000000" w:rsidR="00000000" w:rsidRPr="00000000">
        <w:rPr>
          <w:rFonts w:ascii="Google Sans Text" w:cs="Google Sans Text" w:eastAsia="Google Sans Text" w:hAnsi="Google Sans Text"/>
          <w:color w:val="1b1c1d"/>
          <w:rtl w:val="0"/>
        </w:rPr>
        <w:t xml:space="preserve"> Kontrolle. Der Architekt wird gezwungen, die Speicherhierarchie explizit zu verwalten.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Verwendung von C++/Rust, SIMD-Parsing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direkter GPU-Nutzung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zielt auf eine "Bare-Metal"-Geschwindigkeit ab, die von abstrahierten Diensten nur schwer zu erreichen ist. Dies ist ideal für extrem latenzarme Workloads (z. B. Echtzeit-Betrugserkennung durch RAM-gepinnte Graphtopologie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oder kostenintensive Workloads im Petabyte-Maßstab.</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Hyperscaler (Buy):</w:t>
      </w:r>
      <w:r w:rsidDel="00000000" w:rsidR="00000000" w:rsidRPr="00000000">
        <w:rPr>
          <w:rFonts w:ascii="Google Sans Text" w:cs="Google Sans Text" w:eastAsia="Google Sans Text" w:hAnsi="Google Sans Text"/>
          <w:color w:val="1b1c1d"/>
          <w:rtl w:val="0"/>
        </w:rPr>
        <w:t xml:space="preserve"> Verkaufen </w:t>
      </w:r>
      <w:r w:rsidDel="00000000" w:rsidR="00000000" w:rsidRPr="00000000">
        <w:rPr>
          <w:rFonts w:ascii="Google Sans Text" w:cs="Google Sans Text" w:eastAsia="Google Sans Text" w:hAnsi="Google Sans Text"/>
          <w:i w:val="1"/>
          <w:iCs w:val="1"/>
          <w:color w:val="1b1c1d"/>
          <w:rtl w:val="0"/>
        </w:rPr>
        <w:t xml:space="preserve">Bequemlichkeit</w:t>
      </w:r>
      <w:r w:rsidDel="00000000" w:rsidR="00000000" w:rsidRPr="00000000">
        <w:rPr>
          <w:rFonts w:ascii="Google Sans Text" w:cs="Google Sans Text" w:eastAsia="Google Sans Text" w:hAnsi="Google Sans Text"/>
          <w:color w:val="1b1c1d"/>
          <w:rtl w:val="0"/>
        </w:rPr>
        <w:t xml:space="preserve"> durch </w:t>
      </w:r>
      <w:r w:rsidDel="00000000" w:rsidR="00000000" w:rsidRPr="00000000">
        <w:rPr>
          <w:rFonts w:ascii="Google Sans Text" w:cs="Google Sans Text" w:eastAsia="Google Sans Text" w:hAnsi="Google Sans Text"/>
          <w:i w:val="1"/>
          <w:iCs w:val="1"/>
          <w:color w:val="1b1c1d"/>
          <w:rtl w:val="0"/>
        </w:rPr>
        <w:t xml:space="preserve">Abstraktion</w:t>
      </w:r>
      <w:r w:rsidDel="00000000" w:rsidR="00000000" w:rsidRPr="00000000">
        <w:rPr>
          <w:rFonts w:ascii="Google Sans Text" w:cs="Google Sans Text" w:eastAsia="Google Sans Text" w:hAnsi="Google Sans Text"/>
          <w:color w:val="1b1c1d"/>
          <w:rtl w:val="0"/>
        </w:rPr>
        <w:t xml:space="preserve">. Bei Cosmos DB (RUs) oder DynamoDB (IOPS) "kauft" man Leistung und Skalierbarkeit, ohne die zugrundeliegende Hardware, das Caching oder die Indexplatzierung verwalten zu müssen.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Das Dilemma:</w:t>
      </w:r>
      <w:r w:rsidDel="00000000" w:rsidR="00000000" w:rsidRPr="00000000">
        <w:rPr>
          <w:rFonts w:ascii="Google Sans Text" w:cs="Google Sans Text" w:eastAsia="Google Sans Text" w:hAnsi="Google Sans Text"/>
          <w:color w:val="1b1c1d"/>
          <w:rtl w:val="0"/>
        </w:rPr>
        <w:t xml:space="preserve"> Diese Abstraktion wird bei unvorhersehbaren oder schlecht optimierten Abfragen (z. B. "Noisy Neighbor"-Probleme, ineffiziente Partitionsschlüssel) zur Kostenfalle. ThemisDB tauscht die "einfache Skalierbarkeit" der Hyperscaler gegen eine </w:t>
      </w:r>
      <w:r w:rsidDel="00000000" w:rsidR="00000000" w:rsidRPr="00000000">
        <w:rPr>
          <w:rFonts w:ascii="Google Sans Text" w:cs="Google Sans Text" w:eastAsia="Google Sans Text" w:hAnsi="Google Sans Text"/>
          <w:i w:val="1"/>
          <w:iCs w:val="1"/>
          <w:color w:val="1b1c1d"/>
          <w:rtl w:val="0"/>
        </w:rPr>
        <w:t xml:space="preserve">vorhersehbare</w:t>
      </w:r>
      <w:r w:rsidDel="00000000" w:rsidR="00000000" w:rsidRPr="00000000">
        <w:rPr>
          <w:rFonts w:ascii="Google Sans Text" w:cs="Google Sans Text" w:eastAsia="Google Sans Text" w:hAnsi="Google Sans Text"/>
          <w:color w:val="1b1c1d"/>
          <w:rtl w:val="0"/>
        </w:rPr>
        <w:t xml:space="preserve">, wenn auch ungleich komplexer zu verwaltende, Leistung ein.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Der "Heilige Gral": Effiziente Hybride Suchen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Hier zeigt sich der strategische Hauptvorteil des TMMDB-Ansatzes von ThemisDB.</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Der ThemisDB-Vorteil:</w:t>
      </w:r>
      <w:r w:rsidDel="00000000" w:rsidR="00000000" w:rsidRPr="00000000">
        <w:rPr>
          <w:rFonts w:ascii="Google Sans Text" w:cs="Google Sans Text" w:eastAsia="Google Sans Text" w:hAnsi="Google Sans Text"/>
          <w:color w:val="1b1c1d"/>
          <w:rtl w:val="0"/>
        </w:rPr>
        <w:t xml:space="preserve"> Die TMMDB-Architektur mit ihren einheitlichen Projektionsschichten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ermöglicht hocheffiziente </w:t>
      </w:r>
      <w:r w:rsidDel="00000000" w:rsidR="00000000" w:rsidRPr="00000000">
        <w:rPr>
          <w:rFonts w:ascii="Google Sans Text" w:cs="Google Sans Text" w:eastAsia="Google Sans Text" w:hAnsi="Google Sans Text"/>
          <w:i w:val="1"/>
          <w:iCs w:val="1"/>
          <w:color w:val="1b1c1d"/>
          <w:rtl w:val="0"/>
        </w:rPr>
        <w:t xml:space="preserve">hybride Abfragen</w:t>
      </w:r>
      <w:r w:rsidDel="00000000" w:rsidR="00000000" w:rsidRPr="00000000">
        <w:rPr>
          <w:rFonts w:ascii="Google Sans Text" w:cs="Google Sans Text" w:eastAsia="Google Sans Text" w:hAnsi="Google Sans Text"/>
          <w:color w:val="1b1c1d"/>
          <w:rtl w:val="0"/>
        </w:rPr>
        <w:t xml:space="preserve">, wie im ThemisDB-Entwurf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dargelegt. Das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beschriebene "Pre-Filtering" ist ein perfektes Beispiel:</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Eine Abfrage trifft ein: "Finde ähnliche Bilder (Vektor-Suche), aber nur die mit year &gt; 2020 (relationaler Filter)".</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1 (Relational):</w:t>
      </w:r>
      <w:r w:rsidDel="00000000" w:rsidR="00000000" w:rsidRPr="00000000">
        <w:rPr>
          <w:rFonts w:ascii="Google Sans Text" w:cs="Google Sans Text" w:eastAsia="Google Sans Text" w:hAnsi="Google Sans Text"/>
          <w:color w:val="1b1c1d"/>
          <w:rtl w:val="0"/>
        </w:rPr>
        <w:t xml:space="preserve"> Die Engine scannt den relationalen Index (z. B. idx:year:2020:*, idx:year:2021:*), um eine Kandidatenliste von Primärschlüsseln (typischerweise als Bitset) zu erstellen.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2 (Vektor):</w:t>
      </w:r>
      <w:r w:rsidDel="00000000" w:rsidR="00000000" w:rsidRPr="00000000">
        <w:rPr>
          <w:rFonts w:ascii="Google Sans Text" w:cs="Google Sans Text" w:eastAsia="Google Sans Text" w:hAnsi="Google Sans Text"/>
          <w:color w:val="1b1c1d"/>
          <w:rtl w:val="0"/>
        </w:rPr>
        <w:t xml:space="preserve"> Die HNSW-Graph-Traversierung wird modifiziert. Sie navigiert </w:t>
      </w:r>
      <w:r w:rsidDel="00000000" w:rsidR="00000000" w:rsidRPr="00000000">
        <w:rPr>
          <w:rFonts w:ascii="Google Sans Text" w:cs="Google Sans Text" w:eastAsia="Google Sans Text" w:hAnsi="Google Sans Text"/>
          <w:i w:val="1"/>
          <w:iCs w:val="1"/>
          <w:color w:val="1b1c1d"/>
          <w:rtl w:val="0"/>
        </w:rPr>
        <w:t xml:space="preserve">nur</w:t>
      </w:r>
      <w:r w:rsidDel="00000000" w:rsidR="00000000" w:rsidRPr="00000000">
        <w:rPr>
          <w:rFonts w:ascii="Google Sans Text" w:cs="Google Sans Text" w:eastAsia="Google Sans Text" w:hAnsi="Google Sans Text"/>
          <w:color w:val="1b1c1d"/>
          <w:rtl w:val="0"/>
        </w:rPr>
        <w:t xml:space="preserve"> zu Knoten, deren Primärschlüssel im Kandidaten-Bitset aus Phase 1 vorhanden sind.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 ist eine hocheffiziente Vorfilterung, die die "Achillesferse" vieler spezialisierter Vektordatenbanken (das ineffiziente Post-Filtering)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elegant löst.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Der Hyperscaler-Nachteil (Polyglot/AWS):</w:t>
      </w:r>
      <w:r w:rsidDel="00000000" w:rsidR="00000000" w:rsidRPr="00000000">
        <w:rPr>
          <w:rFonts w:ascii="Google Sans Text" w:cs="Google Sans Text" w:eastAsia="Google Sans Text" w:hAnsi="Google Sans Text"/>
          <w:color w:val="1b1c1d"/>
          <w:rtl w:val="0"/>
        </w:rPr>
        <w:t xml:space="preserve"> Im AWS-Modell (siehe 2.1) wäre dieselbe Abfrage katastrophal ineffizient. Sie würde erfordern:</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Abfrage an Amazon RDS, um alle PKs für year &gt; 2020 zu finden (potenziell Millionen).</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Abfrage an Amazon OpenSearch, um die Top-N ähnlichen Vektoren zu finden (potenziell Tausende).</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Anwendungscode (z. B. eine Lambda-Funktion) müsste die Ergebnisse von </w:t>
      </w:r>
      <w:r w:rsidDel="00000000" w:rsidR="00000000" w:rsidRPr="00000000">
        <w:rPr>
          <w:rFonts w:ascii="Google Sans Text" w:cs="Google Sans Text" w:eastAsia="Google Sans Text" w:hAnsi="Google Sans Text"/>
          <w:i w:val="1"/>
          <w:iCs w:val="1"/>
          <w:color w:val="1b1c1d"/>
          <w:rtl w:val="0"/>
        </w:rPr>
        <w:t xml:space="preserve">zwei</w:t>
      </w:r>
      <w:r w:rsidDel="00000000" w:rsidR="00000000" w:rsidRPr="00000000">
        <w:rPr>
          <w:rFonts w:ascii="Google Sans Text" w:cs="Google Sans Text" w:eastAsia="Google Sans Text" w:hAnsi="Google Sans Text"/>
          <w:color w:val="1b1c1d"/>
          <w:rtl w:val="0"/>
        </w:rPr>
        <w:t xml:space="preserve"> verschiedenen, zustandslosen Datenbanken abrufen und im Speicher einen teuren "Join" oder eine Filterung (Post-Filtering) durchführen. Die Latenz und die Rechenkosten (und damit die AWS-Rechnung) wären enorm.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Der Hyperscaler-Vorteil (Managed MMDBMS):</w:t>
      </w:r>
      <w:r w:rsidDel="00000000" w:rsidR="00000000" w:rsidRPr="00000000">
        <w:rPr>
          <w:rFonts w:ascii="Google Sans Text" w:cs="Google Sans Text" w:eastAsia="Google Sans Text" w:hAnsi="Google Sans Text"/>
          <w:color w:val="1b1c1d"/>
          <w:rtl w:val="0"/>
        </w:rPr>
        <w:t xml:space="preserve"> Azure Cosmos DB, das eine ähnliche TMMDB-Architektur wie ThemisDB verfolgt, löst dieses Problem ähnlich gut. Da es ebenfalls über einen einheitlichen Speicher (ARS) und indizierte Projektionen verfügt, kann es hybride Abfragen effizient </w:t>
      </w:r>
      <w:r w:rsidDel="00000000" w:rsidR="00000000" w:rsidRPr="00000000">
        <w:rPr>
          <w:rFonts w:ascii="Google Sans Text" w:cs="Google Sans Text" w:eastAsia="Google Sans Text" w:hAnsi="Google Sans Text"/>
          <w:i w:val="1"/>
          <w:iCs w:val="1"/>
          <w:color w:val="1b1c1d"/>
          <w:rtl w:val="0"/>
        </w:rPr>
        <w:t xml:space="preserve">innerhalb</w:t>
      </w:r>
      <w:r w:rsidDel="00000000" w:rsidR="00000000" w:rsidRPr="00000000">
        <w:rPr>
          <w:rFonts w:ascii="Google Sans Text" w:cs="Google Sans Text" w:eastAsia="Google Sans Text" w:hAnsi="Google Sans Text"/>
          <w:color w:val="1b1c1d"/>
          <w:rtl w:val="0"/>
        </w:rPr>
        <w:t xml:space="preserve"> der Engine ausführen.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Konsistenzmodelle und Transaktionskomplexität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ThemisDB (ACID-Insel):</w:t>
      </w:r>
      <w:r w:rsidDel="00000000" w:rsidR="00000000" w:rsidRPr="00000000">
        <w:rPr>
          <w:rFonts w:ascii="Google Sans Text" w:cs="Google Sans Text" w:eastAsia="Google Sans Text" w:hAnsi="Google Sans Text"/>
          <w:color w:val="1b1c1d"/>
          <w:rtl w:val="0"/>
        </w:rPr>
        <w:t xml:space="preserve"> Der TMMDB-Ansatz bietet starke ACID-Garantien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durch MVCC </w:t>
      </w:r>
      <w:r w:rsidDel="00000000" w:rsidR="00000000" w:rsidRPr="00000000">
        <w:rPr>
          <w:rFonts w:ascii="Google Sans Text" w:cs="Google Sans Text" w:eastAsia="Google Sans Text" w:hAnsi="Google Sans Text"/>
          <w:i w:val="1"/>
          <w:iCs w:val="1"/>
          <w:color w:val="1b1c1d"/>
          <w:rtl w:val="0"/>
        </w:rPr>
        <w:t xml:space="preserve">innerhalb einer einzigen Engine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Das Aktualisieren eines "Base Entity"-Blobs und </w:t>
      </w:r>
      <w:r w:rsidDel="00000000" w:rsidR="00000000" w:rsidRPr="00000000">
        <w:rPr>
          <w:rFonts w:ascii="Google Sans Text" w:cs="Google Sans Text" w:eastAsia="Google Sans Text" w:hAnsi="Google Sans Text"/>
          <w:i w:val="1"/>
          <w:iCs w:val="1"/>
          <w:color w:val="1b1c1d"/>
          <w:rtl w:val="0"/>
        </w:rPr>
        <w:t xml:space="preserve">aller</w:t>
      </w:r>
      <w:r w:rsidDel="00000000" w:rsidR="00000000" w:rsidRPr="00000000">
        <w:rPr>
          <w:rFonts w:ascii="Google Sans Text" w:cs="Google Sans Text" w:eastAsia="Google Sans Text" w:hAnsi="Google Sans Text"/>
          <w:color w:val="1b1c1d"/>
          <w:rtl w:val="0"/>
        </w:rPr>
        <w:t xml:space="preserve"> seiner zugehörigen Index-Projektionen (relational, graph, vektor) erfolgt atomar, typischerweise unter Verwendung einer RocksDB WriteBatch.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 </w:t>
      </w:r>
      <w:r w:rsidDel="00000000" w:rsidR="00000000" w:rsidRPr="00000000">
        <w:rPr>
          <w:rFonts w:ascii="Google Sans Text" w:cs="Google Sans Text" w:eastAsia="Google Sans Text" w:hAnsi="Google Sans Text"/>
          <w:i w:val="1"/>
          <w:iCs w:val="1"/>
          <w:color w:val="1b1c1d"/>
          <w:rtl w:val="0"/>
        </w:rPr>
        <w:t xml:space="preserve">vereinfacht</w:t>
      </w:r>
      <w:r w:rsidDel="00000000" w:rsidR="00000000" w:rsidRPr="00000000">
        <w:rPr>
          <w:rFonts w:ascii="Google Sans Text" w:cs="Google Sans Text" w:eastAsia="Google Sans Text" w:hAnsi="Google Sans Text"/>
          <w:color w:val="1b1c1d"/>
          <w:rtl w:val="0"/>
        </w:rPr>
        <w:t xml:space="preserve"> die Anwendungslogik dramatisch.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Hyperscaler (Polyglot/AWS) (BASE-Ozean):</w:t>
      </w:r>
      <w:r w:rsidDel="00000000" w:rsidR="00000000" w:rsidRPr="00000000">
        <w:rPr>
          <w:rFonts w:ascii="Google Sans Text" w:cs="Google Sans Text" w:eastAsia="Google Sans Text" w:hAnsi="Google Sans Text"/>
          <w:color w:val="1b1c1d"/>
          <w:rtl w:val="0"/>
        </w:rPr>
        <w:t xml:space="preserve"> Das Polyglot-Modell </w:t>
      </w:r>
      <w:r w:rsidDel="00000000" w:rsidR="00000000" w:rsidRPr="00000000">
        <w:rPr>
          <w:rFonts w:ascii="Google Sans Text" w:cs="Google Sans Text" w:eastAsia="Google Sans Text" w:hAnsi="Google Sans Text"/>
          <w:i w:val="1"/>
          <w:iCs w:val="1"/>
          <w:color w:val="1b1c1d"/>
          <w:rtl w:val="0"/>
        </w:rPr>
        <w:t xml:space="preserve">erzwingt</w:t>
      </w:r>
      <w:r w:rsidDel="00000000" w:rsidR="00000000" w:rsidRPr="00000000">
        <w:rPr>
          <w:rFonts w:ascii="Google Sans Text" w:cs="Google Sans Text" w:eastAsia="Google Sans Text" w:hAnsi="Google Sans Text"/>
          <w:color w:val="1b1c1d"/>
          <w:rtl w:val="0"/>
        </w:rPr>
        <w:t xml:space="preserve"> das Saga-Pattern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auf der Anwendungsebene. Wenn ein Entwickler einen Benutzer in RDS (relational) und dessen Graph-Beziehungen in Neptune (graph) aktualisiert, verwaltet er de facto eine </w:t>
      </w:r>
      <w:r w:rsidDel="00000000" w:rsidR="00000000" w:rsidRPr="00000000">
        <w:rPr>
          <w:rFonts w:ascii="Google Sans Text" w:cs="Google Sans Text" w:eastAsia="Google Sans Text" w:hAnsi="Google Sans Text"/>
          <w:i w:val="1"/>
          <w:iCs w:val="1"/>
          <w:color w:val="1b1c1d"/>
          <w:rtl w:val="0"/>
        </w:rPr>
        <w:t xml:space="preserve">verteilte Transaktion</w:t>
      </w:r>
      <w:r w:rsidDel="00000000" w:rsidR="00000000" w:rsidRPr="00000000">
        <w:rPr>
          <w:rFonts w:ascii="Google Sans Text" w:cs="Google Sans Text" w:eastAsia="Google Sans Text" w:hAnsi="Google Sans Text"/>
          <w:color w:val="1b1c1d"/>
          <w:rtl w:val="0"/>
        </w:rPr>
        <w:t xml:space="preserve">. Dies ist komplex, fehleranfällig und führt zwangsläufig zu Eventual Consistency.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ThemisDB-Dokumentation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zeigt eine interessante Dualität: Sie enthält sowohl ein "MVCC Design" für ACID-Transaktionen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als auch einen "SAGA Verifier".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Dies ist kein Widerspruch. Es signalisiert eine hochentwickelte Architektur: ThemisDB löst das </w:t>
      </w:r>
      <w:r w:rsidDel="00000000" w:rsidR="00000000" w:rsidRPr="00000000">
        <w:rPr>
          <w:rFonts w:ascii="Google Sans Text" w:cs="Google Sans Text" w:eastAsia="Google Sans Text" w:hAnsi="Google Sans Text"/>
          <w:i w:val="1"/>
          <w:iCs w:val="1"/>
          <w:color w:val="1b1c1d"/>
          <w:rtl w:val="0"/>
        </w:rPr>
        <w:t xml:space="preserve">interne</w:t>
      </w:r>
      <w:r w:rsidDel="00000000" w:rsidR="00000000" w:rsidRPr="00000000">
        <w:rPr>
          <w:rFonts w:ascii="Google Sans Text" w:cs="Google Sans Text" w:eastAsia="Google Sans Text" w:hAnsi="Google Sans Text"/>
          <w:color w:val="1b1c1d"/>
          <w:rtl w:val="0"/>
        </w:rPr>
        <w:t xml:space="preserve"> Konsistenzproblem (den Hauptschmerz von Polyglot Persistence) durch ACID-Transaktionen. Gleichzeitig erkennt es die Notwendigkeit an, mit der </w:t>
      </w:r>
      <w:r w:rsidDel="00000000" w:rsidR="00000000" w:rsidRPr="00000000">
        <w:rPr>
          <w:rFonts w:ascii="Google Sans Text" w:cs="Google Sans Text" w:eastAsia="Google Sans Text" w:hAnsi="Google Sans Text"/>
          <w:i w:val="1"/>
          <w:iCs w:val="1"/>
          <w:color w:val="1b1c1d"/>
          <w:rtl w:val="0"/>
        </w:rPr>
        <w:t xml:space="preserve">externen</w:t>
      </w:r>
      <w:r w:rsidDel="00000000" w:rsidR="00000000" w:rsidRPr="00000000">
        <w:rPr>
          <w:rFonts w:ascii="Google Sans Text" w:cs="Google Sans Text" w:eastAsia="Google Sans Text" w:hAnsi="Google Sans Text"/>
          <w:color w:val="1b1c1d"/>
          <w:rtl w:val="0"/>
        </w:rPr>
        <w:t xml:space="preserve"> Welt (anderen Microservices) über Sagas zu interagieren und stellt Werkzeuge zur Verifizierung dieser Interaktionen bereit.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Ein entscheidender Aspekt, der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hervorgehoben wird, sind die Compliance-Implikationen (DSGVO/EU AI Act). Das "Recht auf Vergessenwerden" (Löschung) ist in einem Polyglot-Persistence-System ein Alptraum, der komplexe kompensierende Transaktionen (Sagas) erfordert, um Daten zuverlässig aus RDS, Neptune und OpenSearch zu entfernen. In ThemisDB ist dies ein trivialer, atomarer Vorgang: Das Setzen eines "Tombstone-Markers"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für das "Base Entity"-Blob. Die (MVCC-)Transaktion stellt sicher, dass alle seine Projektionen (Indizes) konsistent mit entfernt werden. Für Unternehmen, die strengen Vorschriften unterliegen, ist diese garantierte, atomare Löschung ein massiver strategischer und rechtlicher Vorteil.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Anpassbarkeit vs. Verwaltungsaufwand (Build vs. Buy)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ThemisDB (Build):</w:t>
      </w:r>
      <w:r w:rsidDel="00000000" w:rsidR="00000000" w:rsidRPr="00000000">
        <w:rPr>
          <w:rFonts w:ascii="Google Sans Text" w:cs="Google Sans Text" w:eastAsia="Google Sans Text" w:hAnsi="Google Sans Text"/>
          <w:color w:val="1b1c1d"/>
          <w:rtl w:val="0"/>
        </w:rPr>
        <w:t xml:space="preserve"> Bietet unendliche Anpassbarkeit. Der Kernel (C++/Rust) kann für spezifische Workloads modifiziert, Bibliotheken (wie simdjson, Faiss, TBB)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können ausgetauscht und die Speicherzuweisung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kann feinabgestimmt werden. Dies ist ein enormer Aufwand, der ein hochspezialisiertes Engineering-Team erfordert, wie der Umfang der Designdokumente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beweist.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Hyperscaler (Buy):</w:t>
      </w:r>
      <w:r w:rsidDel="00000000" w:rsidR="00000000" w:rsidRPr="00000000">
        <w:rPr>
          <w:rFonts w:ascii="Google Sans Text" w:cs="Google Sans Text" w:eastAsia="Google Sans Text" w:hAnsi="Google Sans Text"/>
          <w:color w:val="1b1c1d"/>
          <w:rtl w:val="0"/>
        </w:rPr>
        <w:t xml:space="preserve"> Bietet (nahezu) null Wartungsaufwand ("serverless") auf Kosten von (nahezu) null Anpassbarkeit. Der Entwickler ist auf die bereitgestellten APIs, Konfigurationen, Datentypen und das Leistungsmodell (z. B. RUs) beschränkt. Dies stellt einen klassischen Vendor Lock-in dar.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Bei dieser Abwägung zeigt sich ein "TCO-Kipppunkt" (Total Cost of Ownership). Für kleine bis mittlere Workloads ist das "Buy"-Modell (Hyperscaler) aufgrund der minimalen Fixkosten (keine Engineering-Teams) fast immer billiger. Bei </w:t>
      </w:r>
      <w:r w:rsidDel="00000000" w:rsidR="00000000" w:rsidRPr="00000000">
        <w:rPr>
          <w:rFonts w:ascii="Google Sans Text" w:cs="Google Sans Text" w:eastAsia="Google Sans Text" w:hAnsi="Google Sans Text"/>
          <w:i w:val="1"/>
          <w:iCs w:val="1"/>
          <w:color w:val="1b1c1d"/>
          <w:rtl w:val="0"/>
        </w:rPr>
        <w:t xml:space="preserve">massivem</w:t>
      </w:r>
      <w:r w:rsidDel="00000000" w:rsidR="00000000" w:rsidRPr="00000000">
        <w:rPr>
          <w:rFonts w:ascii="Google Sans Text" w:cs="Google Sans Text" w:eastAsia="Google Sans Text" w:hAnsi="Google Sans Text"/>
          <w:color w:val="1b1c1d"/>
          <w:rtl w:val="0"/>
        </w:rPr>
        <w:t xml:space="preserve"> Scale (Milliarden von Anfragen, Petabytes an Daten) kehrt sich dieses Verhältnis jedoch um. Die "Pay-per-Request"-Kosten (z. B. RUs in Cosmos DB oder IOPS in DynamoDB) skalieren linear oder superlinear mit der Nutzung und können ruinös werden. Eine "Build"-Lösung wie ThemisDB, die auf optimierter C++/Rust-Software auf "Bare-Metal"-Hardware (oder reservierten Instanzen) läuft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hat extrem hohe Fixkosten (Engineering-Gehälter), aber weitaus niedrigere und vorhersagbarere Grenzkosten pro Transaktion. ThemisDB ist eine strategische Wette auf Workloads, die diesen "TCO-Kipppunkt" überschreiten.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4: Strategische Positionierung und Gesamtbetriebskosten (TCO)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Aus der architektonischen Analyse leitet sich eine klare strategische Positionierung für die ThemisDB-Architektur ab.</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Kosten-Analyse: Engineering-Stunden vs. "Request Units"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Entscheidung "Build vs. Buy" ist primär eine TCO-Analyse.</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"Build" (ThemisDB):</w:t>
      </w:r>
      <w:r w:rsidDel="00000000" w:rsidR="00000000" w:rsidRPr="00000000">
        <w:rPr>
          <w:rFonts w:ascii="Google Sans Text" w:cs="Google Sans Text" w:eastAsia="Google Sans Text" w:hAnsi="Google Sans Text"/>
          <w:color w:val="1b1c1d"/>
          <w:rtl w:val="0"/>
        </w:rPr>
        <w:t xml:space="preserve"> Die TCO werden dominiert von den "CapEx" (im Geiste) der Software-Entwicklung und den "OpEx" der Infrastruktur (Server, Strom, Kühlung) und des SRE-Teams (Site Reliability Engineering). Die Projektdateien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(AQL-Syntax, MVCC-Design, Index-Wartung, Deployment-Guides, Kompressions-Benchmarks) belegen den massiven, laufenden Engineering-Aufwand.</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"Buy" (Hyperscaler):</w:t>
      </w:r>
      <w:r w:rsidDel="00000000" w:rsidR="00000000" w:rsidRPr="00000000">
        <w:rPr>
          <w:rFonts w:ascii="Google Sans Text" w:cs="Google Sans Text" w:eastAsia="Google Sans Text" w:hAnsi="Google Sans Text"/>
          <w:color w:val="1b1c1d"/>
          <w:rtl w:val="0"/>
        </w:rPr>
        <w:t xml:space="preserve"> Die TCO werden dominiert von variablen "OpEx" (Pay-per-Request, Speicher-GB, Netzwerk-Egress-Gebühren). Diese sind anfangs niedrig, aber bei hoher Last unvorhersehbar und unkontrollierbar.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Entscheidung für einen "Build"-Ansatz wie ThemisDB ist eine Investition. Sie amortisiert sich nur, wenn der Workload (a) extrem hoch und konstant ist, (b) extrem spezifische Leistungsanforderungen hat (die Hyperscaler nicht erfüllen) oder (c) die "Pay-per-Request"-Kosten die Gehälter eines dedizierten Engineering-Teams bei weitem übersteigen würden.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Die "Sovereign Cloud" und "Hybrid-Cloud"-Nische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ThemisDB-Architektur ist ideal für "Hybrid"- oder "Private Cloud"-Szenarien positioniert. Das deutlichste Signal hierfür ist die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beschriebene Sicherheitsarchitektur. Die Integration von Kerberos/GSSAPI und Apache Ranger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ist typisch für On-Premise-Enterprise-Ökosysteme (z. B. Hadoop/Data-Lake-Umgebungen), nicht für Public-Cloud-SaaS-Dienste, die auf proprietäre IAM-Modelle setzen.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 eröffnet einen klaren strategischen Vorteil: Ein Unternehmen kann ThemisDB auf seiner eigenen Hardware (On-Premise) oder in einer "Virtual Private Cloud" (VPC) auf AWS/Azure/GCP betreiben. Dies bietet:</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Datenhoheit:</w:t>
      </w:r>
      <w:r w:rsidDel="00000000" w:rsidR="00000000" w:rsidRPr="00000000">
        <w:rPr>
          <w:rFonts w:ascii="Google Sans Text" w:cs="Google Sans Text" w:eastAsia="Google Sans Text" w:hAnsi="Google Sans Text"/>
          <w:color w:val="1b1c1d"/>
          <w:rtl w:val="0"/>
        </w:rPr>
        <w:t xml:space="preserve"> Kritische KI/PII-Daten (z. B. Vektor-Embeddings von Kundendokumenten) verlassen niemals die eigene, kontrollierte Umgebung.</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Kein Vendor Lock-in:</w:t>
      </w:r>
      <w:r w:rsidDel="00000000" w:rsidR="00000000" w:rsidRPr="00000000">
        <w:rPr>
          <w:rFonts w:ascii="Google Sans Text" w:cs="Google Sans Text" w:eastAsia="Google Sans Text" w:hAnsi="Google Sans Text"/>
          <w:color w:val="1b1c1d"/>
          <w:rtl w:val="0"/>
        </w:rPr>
        <w:t xml:space="preserve"> Das System ist portabel. Es kann von On-Premise zu AWS zu GCP migriert werden, da es "nur" C++/Rust-Code auf einer VM mit RocksDB ist.</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Kostenkontrolle:</w:t>
      </w:r>
      <w:r w:rsidDel="00000000" w:rsidR="00000000" w:rsidRPr="00000000">
        <w:rPr>
          <w:rFonts w:ascii="Google Sans Text" w:cs="Google Sans Text" w:eastAsia="Google Sans Text" w:hAnsi="Google Sans Text"/>
          <w:color w:val="1b1c1d"/>
          <w:rtl w:val="0"/>
        </w:rPr>
        <w:t xml:space="preserve"> Das Unternehmen kann "Reserved Instances" oder eigene Hardware nutzen, anstatt teure, variable "Serverless"-RUs zu bezahlen.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Sicherheits- und Governance-Modelle im Vergleich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Sicherheitsansatz vertieft diese Positionierung.</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ThemisDB:</w:t>
      </w:r>
      <w:r w:rsidDel="00000000" w:rsidR="00000000" w:rsidRPr="00000000">
        <w:rPr>
          <w:rFonts w:ascii="Google Sans Text" w:cs="Google Sans Text" w:eastAsia="Google Sans Text" w:hAnsi="Google Sans Text"/>
          <w:color w:val="1b1c1d"/>
          <w:rtl w:val="0"/>
        </w:rPr>
        <w:t xml:space="preserve"> Verfolgt einen "Brownfield"-Ansatz. Es integriert sich in </w:t>
      </w:r>
      <w:r w:rsidDel="00000000" w:rsidR="00000000" w:rsidRPr="00000000">
        <w:rPr>
          <w:rFonts w:ascii="Google Sans Text" w:cs="Google Sans Text" w:eastAsia="Google Sans Text" w:hAnsi="Google Sans Text"/>
          <w:i w:val="1"/>
          <w:iCs w:val="1"/>
          <w:color w:val="1b1c1d"/>
          <w:rtl w:val="0"/>
        </w:rPr>
        <w:t xml:space="preserve">bestehende</w:t>
      </w:r>
      <w:r w:rsidDel="00000000" w:rsidR="00000000" w:rsidRPr="00000000">
        <w:rPr>
          <w:rFonts w:ascii="Google Sans Text" w:cs="Google Sans Text" w:eastAsia="Google Sans Text" w:hAnsi="Google Sans Text"/>
          <w:color w:val="1b1c1d"/>
          <w:rtl w:val="0"/>
        </w:rPr>
        <w:t xml:space="preserve"> Enterprise-Sicherheits-Frameworks (Kerberos, LDAP/AD via Ranger UserSync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Das System ist ein "Bürger" im bestehenden IT-Sicherheitsstaat. Für ein großes, etabliertes Unternehmen ist dies ein entscheidender Vorteil, da keine parallele Sicherheitsinfrastruktur aufgebaut werden muss.</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Hyperscaler:</w:t>
      </w:r>
      <w:r w:rsidDel="00000000" w:rsidR="00000000" w:rsidRPr="00000000">
        <w:rPr>
          <w:rFonts w:ascii="Google Sans Text" w:cs="Google Sans Text" w:eastAsia="Google Sans Text" w:hAnsi="Google Sans Text"/>
          <w:color w:val="1b1c1d"/>
          <w:rtl w:val="0"/>
        </w:rPr>
        <w:t xml:space="preserve"> Bieten ihre </w:t>
      </w:r>
      <w:r w:rsidDel="00000000" w:rsidR="00000000" w:rsidRPr="00000000">
        <w:rPr>
          <w:rFonts w:ascii="Google Sans Text" w:cs="Google Sans Text" w:eastAsia="Google Sans Text" w:hAnsi="Google Sans Text"/>
          <w:i w:val="1"/>
          <w:iCs w:val="1"/>
          <w:color w:val="1b1c1d"/>
          <w:rtl w:val="0"/>
        </w:rPr>
        <w:t xml:space="preserve">eigenen</w:t>
      </w:r>
      <w:r w:rsidDel="00000000" w:rsidR="00000000" w:rsidRPr="00000000">
        <w:rPr>
          <w:rFonts w:ascii="Google Sans Text" w:cs="Google Sans Text" w:eastAsia="Google Sans Text" w:hAnsi="Google Sans Text"/>
          <w:color w:val="1b1c1d"/>
          <w:rtl w:val="0"/>
        </w:rPr>
        <w:t xml:space="preserve">, proprietären, aber tief integrierten Sicherheitsmodelle (z. B. AWS IAM, Azure Active Directory). Diese sind extrem leistungsfähig, aber an die Plattform gebunden (Vendor Lock-in) und schaffen ein "Greenfield"-Sicherheitsmodell.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Abschließende Einordnung: Das "Wann" und "Warum"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liefert einen klaren Kriterienkatalog für eine "Build vs. Buy"-Entscheidung.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Wann sind die Hyperscaler-Dienste (Buy) überlegen?</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Für die überwiegende Mehrheit (z.B. 90%) der Standard-Workloads.</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Wenn Time-to-Market (TTM) der wichtigste Faktor ist und die Komplexität des Betriebs minimiert werden soll.</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Wenn der Workload hoch-elastisch (spitzenlastig), aber nicht dauerhaft massiv ist.</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Wenn kein spezialisiertes Datenbank-Engineering-Team (C++, Rust, Kernel-Optimierung) verfügbar ist oder aufgebaut werden soll.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Wann ist eine "Build"-Lösung wie ThemisDB überlegen?</w:t>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Extrem-Performance-Workloads:</w:t>
      </w:r>
      <w:r w:rsidDel="00000000" w:rsidR="00000000" w:rsidRPr="00000000">
        <w:rPr>
          <w:rFonts w:ascii="Google Sans Text" w:cs="Google Sans Text" w:eastAsia="Google Sans Text" w:hAnsi="Google Sans Text"/>
          <w:color w:val="1b1c1d"/>
          <w:rtl w:val="0"/>
        </w:rPr>
        <w:t xml:space="preserve"> Wenn Latenzen im Sub-Millisekunden-Bereich erforderlich sind, die nur durch Hardware-nahe Optimierung (z. B. RAM-gepinnte Graphtopologie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einen optimierten C++/Rust-Stack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erreicht werden können.</w:t>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Kosten-Arbitrage bei Scale:</w:t>
      </w:r>
      <w:r w:rsidDel="00000000" w:rsidR="00000000" w:rsidRPr="00000000">
        <w:rPr>
          <w:rFonts w:ascii="Google Sans Text" w:cs="Google Sans Text" w:eastAsia="Google Sans Text" w:hAnsi="Google Sans Text"/>
          <w:color w:val="1b1c1d"/>
          <w:rtl w:val="0"/>
        </w:rPr>
        <w:t xml:space="preserve"> Wenn der Workload so massiv und konstant ist, dass die "Pay-per-Request"-Kosten der Hyperscaler die (hohen) Entwicklungskosten übersteigen (der "TCO-Kipppunkt").</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Komplexe Hybride Abfragen:</w:t>
      </w:r>
      <w:r w:rsidDel="00000000" w:rsidR="00000000" w:rsidRPr="00000000">
        <w:rPr>
          <w:rFonts w:ascii="Google Sans Text" w:cs="Google Sans Text" w:eastAsia="Google Sans Text" w:hAnsi="Google Sans Text"/>
          <w:color w:val="1b1c1d"/>
          <w:rtl w:val="0"/>
        </w:rPr>
        <w:t xml:space="preserve"> Wenn die Kern-Geschäftslogik auf effizienten, atomaren, hybriden Abfragen (Relational+Graph+Vektor) beruht, die im Polyglot-Modell unmöglich oder ineffizient sind.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Regulierung und Datenhoheit:</w:t>
      </w:r>
      <w:r w:rsidDel="00000000" w:rsidR="00000000" w:rsidRPr="00000000">
        <w:rPr>
          <w:rFonts w:ascii="Google Sans Text" w:cs="Google Sans Text" w:eastAsia="Google Sans Text" w:hAnsi="Google Sans Text"/>
          <w:color w:val="1b1c1d"/>
          <w:rtl w:val="0"/>
        </w:rPr>
        <w:t xml:space="preserve"> Wenn Compliance (DSGVO, EU AI Act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Anforderungen an die Datenhoheit ("Sovereign AI") den Einsatz von Public-Cloud-Multi-Tenant-Diensten verbieten oder die atomare Konsistenz (z. B. bei Löschungen) ein rechtliches Muss ist.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Tabelle 2: Architektonische Trade-offs: ThemisDB vs. Hyperscaler-Modelle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folgende Tabelle fasst die strategischen Kompromisse für eine technische Führungsentscheidung zusammen.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Kriterium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ThemisDB (Build / TMMDB)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Hyperscaler (Buy / Polyglot-AWS)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Hyperscaler (Buy / Managed MMDBMS-Cosmos 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Leistungskontrolle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Hardware-Aware:</w:t>
            </w:r>
            <w:r w:rsidDel="00000000" w:rsidR="00000000" w:rsidRPr="00000000">
              <w:rPr>
                <w:rFonts w:ascii="Google Sans Text" w:cs="Google Sans Text" w:eastAsia="Google Sans Text" w:hAnsi="Google Sans Text"/>
                <w:color w:val="1b1c1d"/>
                <w:shd w:fill="auto" w:val="clear"/>
                <w:rtl w:val="0"/>
              </w:rPr>
              <w:t xml:space="preserve"> Explizite Kontrolle über RAM, VRAM, NVMe-SSD.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Maximale, aber komplexe Optimierung.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Abstrahiert (Silo):</w:t>
            </w:r>
            <w:r w:rsidDel="00000000" w:rsidR="00000000" w:rsidRPr="00000000">
              <w:rPr>
                <w:rFonts w:ascii="Google Sans Text" w:cs="Google Sans Text" w:eastAsia="Google Sans Text" w:hAnsi="Google Sans Text"/>
                <w:color w:val="1b1c1d"/>
                <w:shd w:fill="auto" w:val="clear"/>
                <w:rtl w:val="0"/>
              </w:rPr>
              <w:t xml:space="preserve"> Abstrahiert pro Dienst (IOPS, vCPU). Leistung wird durch Anwendungs-Code ("Klebstoff") begrenzt.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Abstrahiert (Einheitlich):</w:t>
            </w:r>
            <w:r w:rsidDel="00000000" w:rsidR="00000000" w:rsidRPr="00000000">
              <w:rPr>
                <w:rFonts w:ascii="Google Sans Text" w:cs="Google Sans Text" w:eastAsia="Google Sans Text" w:hAnsi="Google Sans Text"/>
                <w:color w:val="1b1c1d"/>
                <w:shd w:fill="auto" w:val="clear"/>
                <w:rtl w:val="0"/>
              </w:rPr>
              <w:t xml:space="preserve"> Vollständig abstrahiert über "Request Units" (RUs). Einfach zu skalieren, aber potenzielle Kostenfalle.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Transaktionsmodell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Intern ACID:</w:t>
            </w:r>
            <w:r w:rsidDel="00000000" w:rsidR="00000000" w:rsidRPr="00000000">
              <w:rPr>
                <w:rFonts w:ascii="Google Sans Text" w:cs="Google Sans Text" w:eastAsia="Google Sans Text" w:hAnsi="Google Sans Text"/>
                <w:color w:val="1b1c1d"/>
                <w:shd w:fill="auto" w:val="clear"/>
                <w:rtl w:val="0"/>
              </w:rPr>
              <w:t xml:space="preserve"> Starke ACID-Garantien (MVCC) </w:t>
            </w:r>
            <w:r w:rsidDel="00000000" w:rsidR="00000000" w:rsidRPr="00000000">
              <w:rPr>
                <w:rFonts w:ascii="Google Sans Text" w:cs="Google Sans Text" w:eastAsia="Google Sans Text" w:hAnsi="Google Sans Text"/>
                <w:i w:val="1"/>
                <w:iCs w:val="1"/>
                <w:color w:val="1b1c1d"/>
                <w:shd w:fill="auto" w:val="clear"/>
                <w:rtl w:val="0"/>
              </w:rPr>
              <w:t xml:space="preserve">innerhalb</w:t>
            </w:r>
            <w:r w:rsidDel="00000000" w:rsidR="00000000" w:rsidRPr="00000000">
              <w:rPr>
                <w:rFonts w:ascii="Google Sans Text" w:cs="Google Sans Text" w:eastAsia="Google Sans Text" w:hAnsi="Google Sans Text"/>
                <w:color w:val="1b1c1d"/>
                <w:shd w:fill="auto" w:val="clear"/>
                <w:rtl w:val="0"/>
              </w:rPr>
              <w:t xml:space="preserve"> der Engine für alle Modelle.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Extern BASE:</w:t>
            </w:r>
            <w:r w:rsidDel="00000000" w:rsidR="00000000" w:rsidRPr="00000000">
              <w:rPr>
                <w:rFonts w:ascii="Google Sans Text" w:cs="Google Sans Text" w:eastAsia="Google Sans Text" w:hAnsi="Google Sans Text"/>
                <w:color w:val="1b1c1d"/>
                <w:shd w:fill="auto" w:val="clear"/>
                <w:rtl w:val="0"/>
              </w:rPr>
              <w:t xml:space="preserve"> Erzwingt Saga-Pattern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auf Anwendungsebene. Komplex, fehleranfällig.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Intern ACID / Konfigurierbar:</w:t>
            </w:r>
            <w:r w:rsidDel="00000000" w:rsidR="00000000" w:rsidRPr="00000000">
              <w:rPr>
                <w:rFonts w:ascii="Google Sans Text" w:cs="Google Sans Text" w:eastAsia="Google Sans Text" w:hAnsi="Google Sans Text"/>
                <w:color w:val="1b1c1d"/>
                <w:shd w:fill="auto" w:val="clear"/>
                <w:rtl w:val="0"/>
              </w:rPr>
              <w:t xml:space="preserve"> Starke Garantien innerhalb einer Partition; 5 globale Konsistenzstufen.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Hybride Abfragen</w:t>
            </w:r>
            <w:r w:rsidDel="00000000" w:rsidR="00000000" w:rsidRPr="00000000">
              <w:rPr>
                <w:rFonts w:ascii="Google Sans Text" w:cs="Google Sans Text" w:eastAsia="Google Sans Text" w:hAnsi="Google Sans Text"/>
                <w:color w:val="1b1c1d"/>
                <w:shd w:fill="auto" w:val="clear"/>
                <w:rtl w:val="0"/>
              </w:rPr>
              <w:t xml:space="preserve"> (z. B. Relational+Vektor)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Hoch-Effizient:</w:t>
            </w:r>
            <w:r w:rsidDel="00000000" w:rsidR="00000000" w:rsidRPr="00000000">
              <w:rPr>
                <w:rFonts w:ascii="Google Sans Text" w:cs="Google Sans Text" w:eastAsia="Google Sans Text" w:hAnsi="Google Sans Text"/>
                <w:color w:val="1b1c1d"/>
                <w:shd w:fill="auto" w:val="clear"/>
                <w:rtl w:val="0"/>
              </w:rPr>
              <w:t xml:space="preserve"> Ermöglicht Pre-Filtering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durch gemeinsame Projektionen. Strategischer Vorteil.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Hoch-Ineffizient:</w:t>
            </w:r>
            <w:r w:rsidDel="00000000" w:rsidR="00000000" w:rsidRPr="00000000">
              <w:rPr>
                <w:rFonts w:ascii="Google Sans Text" w:cs="Google Sans Text" w:eastAsia="Google Sans Text" w:hAnsi="Google Sans Text"/>
                <w:color w:val="1b1c1d"/>
                <w:shd w:fill="auto" w:val="clear"/>
                <w:rtl w:val="0"/>
              </w:rPr>
              <w:t xml:space="preserve"> Erfordert Post-Filtering in der Anwendung (Join über 2+ DBs). Latenz- und Kosten-Albtraum.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Hoch-Effizient:</w:t>
            </w:r>
            <w:r w:rsidDel="00000000" w:rsidR="00000000" w:rsidRPr="00000000">
              <w:rPr>
                <w:rFonts w:ascii="Google Sans Text" w:cs="Google Sans Text" w:eastAsia="Google Sans Text" w:hAnsi="Google Sans Text"/>
                <w:color w:val="1b1c1d"/>
                <w:shd w:fill="auto" w:val="clear"/>
                <w:rtl w:val="0"/>
              </w:rPr>
              <w:t xml:space="preserve"> Ähnlich wie ThemisDB, da einheitlicher Speicher (ARS) und Indizes vorhanden sind.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Skalierungsmodell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Komplex:</w:t>
            </w:r>
            <w:r w:rsidDel="00000000" w:rsidR="00000000" w:rsidRPr="00000000">
              <w:rPr>
                <w:rFonts w:ascii="Google Sans Text" w:cs="Google Sans Text" w:eastAsia="Google Sans Text" w:hAnsi="Google Sans Text"/>
                <w:color w:val="1b1c1d"/>
                <w:shd w:fill="auto" w:val="clear"/>
                <w:rtl w:val="0"/>
              </w:rPr>
              <w:t xml:space="preserve"> Erfordert manuelles Sharding / Infrastruktur-Management (K8s, VMs).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Spezialisiert:</w:t>
            </w:r>
            <w:r w:rsidDel="00000000" w:rsidR="00000000" w:rsidRPr="00000000">
              <w:rPr>
                <w:rFonts w:ascii="Google Sans Text" w:cs="Google Sans Text" w:eastAsia="Google Sans Text" w:hAnsi="Google Sans Text"/>
                <w:color w:val="1b1c1d"/>
                <w:shd w:fill="auto" w:val="clear"/>
                <w:rtl w:val="0"/>
              </w:rPr>
              <w:t xml:space="preserve"> Jeder Dienst skaliert unabhängig (z. B. DynamoDB = exzellent, RDS = schwierig).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Elastisch/Serverless:</w:t>
            </w:r>
            <w:r w:rsidDel="00000000" w:rsidR="00000000" w:rsidRPr="00000000">
              <w:rPr>
                <w:rFonts w:ascii="Google Sans Text" w:cs="Google Sans Text" w:eastAsia="Google Sans Text" w:hAnsi="Google Sans Text"/>
                <w:color w:val="1b1c1d"/>
                <w:shd w:fill="auto" w:val="clear"/>
                <w:rtl w:val="0"/>
              </w:rPr>
              <w:t xml:space="preserve"> Exzellente, nahtlose globale Skalierung (Push-Button).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TCO-Modell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Hohe Fixkosten:</w:t>
            </w:r>
            <w:r w:rsidDel="00000000" w:rsidR="00000000" w:rsidRPr="00000000">
              <w:rPr>
                <w:rFonts w:ascii="Google Sans Text" w:cs="Google Sans Text" w:eastAsia="Google Sans Text" w:hAnsi="Google Sans Text"/>
                <w:color w:val="1b1c1d"/>
                <w:shd w:fill="auto" w:val="clear"/>
                <w:rtl w:val="0"/>
              </w:rPr>
              <w:t xml:space="preserve"> (Top-Engineering-Team) </w:t>
            </w:r>
            <w:r w:rsidDel="00000000" w:rsidR="00000000" w:rsidRPr="00000000">
              <w:rPr>
                <w:rFonts w:ascii="Google Sans Text" w:cs="Google Sans Text" w:eastAsia="Google Sans Text" w:hAnsi="Google Sans Text"/>
                <w:b w:val="1"/>
                <w:bCs w:val="1"/>
                <w:color w:val="1b1c1d"/>
                <w:shd w:fill="auto" w:val="clear"/>
                <w:rtl w:val="0"/>
              </w:rPr>
              <w:t xml:space="preserve">Niedrige Grenzkosten:</w:t>
            </w:r>
            <w:r w:rsidDel="00000000" w:rsidR="00000000" w:rsidRPr="00000000">
              <w:rPr>
                <w:rFonts w:ascii="Google Sans Text" w:cs="Google Sans Text" w:eastAsia="Google Sans Text" w:hAnsi="Google Sans Text"/>
                <w:color w:val="1b1c1d"/>
                <w:shd w:fill="auto" w:val="clear"/>
                <w:rtl w:val="0"/>
              </w:rPr>
              <w:t xml:space="preserve"> (Optimierte Software auf Roh-Infra).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Mittlere Fixkosten:</w:t>
            </w:r>
            <w:r w:rsidDel="00000000" w:rsidR="00000000" w:rsidRPr="00000000">
              <w:rPr>
                <w:rFonts w:ascii="Google Sans Text" w:cs="Google Sans Text" w:eastAsia="Google Sans Text" w:hAnsi="Google Sans Text"/>
                <w:color w:val="1b1c1d"/>
                <w:shd w:fill="auto" w:val="clear"/>
                <w:rtl w:val="0"/>
              </w:rPr>
              <w:t xml:space="preserve"> (Hohe DevOps-Komplexität) </w:t>
            </w:r>
            <w:r w:rsidDel="00000000" w:rsidR="00000000" w:rsidRPr="00000000">
              <w:rPr>
                <w:rFonts w:ascii="Google Sans Text" w:cs="Google Sans Text" w:eastAsia="Google Sans Text" w:hAnsi="Google Sans Text"/>
                <w:b w:val="1"/>
                <w:bCs w:val="1"/>
                <w:color w:val="1b1c1d"/>
                <w:shd w:fill="auto" w:val="clear"/>
                <w:rtl w:val="0"/>
              </w:rPr>
              <w:t xml:space="preserve">Hohe variable Kosten:</w:t>
            </w:r>
            <w:r w:rsidDel="00000000" w:rsidR="00000000" w:rsidRPr="00000000">
              <w:rPr>
                <w:rFonts w:ascii="Google Sans Text" w:cs="Google Sans Text" w:eastAsia="Google Sans Text" w:hAnsi="Google Sans Text"/>
                <w:color w:val="1b1c1d"/>
                <w:shd w:fill="auto" w:val="clear"/>
                <w:rtl w:val="0"/>
              </w:rPr>
              <w:t xml:space="preserve"> (Mehrere Dienste + "Klebstoff"-Compute).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Niedrige Fixkosten:</w:t>
            </w:r>
            <w:r w:rsidDel="00000000" w:rsidR="00000000" w:rsidRPr="00000000">
              <w:rPr>
                <w:rFonts w:ascii="Google Sans Text" w:cs="Google Sans Text" w:eastAsia="Google Sans Text" w:hAnsi="Google Sans Text"/>
                <w:color w:val="1b1c1d"/>
                <w:shd w:fill="auto" w:val="clear"/>
                <w:rtl w:val="0"/>
              </w:rPr>
              <w:t xml:space="preserve"> (Kein Betrieb) </w:t>
            </w:r>
            <w:r w:rsidDel="00000000" w:rsidR="00000000" w:rsidRPr="00000000">
              <w:rPr>
                <w:rFonts w:ascii="Google Sans Text" w:cs="Google Sans Text" w:eastAsia="Google Sans Text" w:hAnsi="Google Sans Text"/>
                <w:b w:val="1"/>
                <w:bCs w:val="1"/>
                <w:color w:val="1b1c1d"/>
                <w:shd w:fill="auto" w:val="clear"/>
                <w:rtl w:val="0"/>
              </w:rPr>
              <w:t xml:space="preserve">Sehr hohe variable Kosten:</w:t>
            </w:r>
            <w:r w:rsidDel="00000000" w:rsidR="00000000" w:rsidRPr="00000000">
              <w:rPr>
                <w:rFonts w:ascii="Google Sans Text" w:cs="Google Sans Text" w:eastAsia="Google Sans Text" w:hAnsi="Google Sans Text"/>
                <w:color w:val="1b1c1d"/>
                <w:shd w:fill="auto" w:val="clear"/>
                <w:rtl w:val="0"/>
              </w:rPr>
              <w:t xml:space="preserve"> (Pay-per-Request/RU).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Sicherheit / 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"Brownfield":</w:t>
            </w:r>
            <w:r w:rsidDel="00000000" w:rsidR="00000000" w:rsidRPr="00000000">
              <w:rPr>
                <w:rFonts w:ascii="Google Sans Text" w:cs="Google Sans Text" w:eastAsia="Google Sans Text" w:hAnsi="Google Sans Text"/>
                <w:color w:val="1b1c1d"/>
                <w:shd w:fill="auto" w:val="clear"/>
                <w:rtl w:val="0"/>
              </w:rPr>
              <w:t xml:space="preserve"> Integriert sich in bestehende Enterprise-Systeme (Kerberos, Ranger).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"Greenfield" (Fragmentiert):</w:t>
            </w:r>
            <w:r w:rsidDel="00000000" w:rsidR="00000000" w:rsidRPr="00000000">
              <w:rPr>
                <w:rFonts w:ascii="Google Sans Text" w:cs="Google Sans Text" w:eastAsia="Google Sans Text" w:hAnsi="Google Sans Text"/>
                <w:color w:val="1b1c1d"/>
                <w:shd w:fill="auto" w:val="clear"/>
                <w:rtl w:val="0"/>
              </w:rPr>
              <w:t xml:space="preserve"> Proprietäres IAM pro Dienst. Konsistenz ist schwierig.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"Greenfield" (Integriert):</w:t>
            </w:r>
            <w:r w:rsidDel="00000000" w:rsidR="00000000" w:rsidRPr="00000000">
              <w:rPr>
                <w:rFonts w:ascii="Google Sans Text" w:cs="Google Sans Text" w:eastAsia="Google Sans Text" w:hAnsi="Google Sans Text"/>
                <w:color w:val="1b1c1d"/>
                <w:shd w:fill="auto" w:val="clear"/>
                <w:rtl w:val="0"/>
              </w:rPr>
              <w:t xml:space="preserve"> Proprietäres Azure AD / RBAC. Stark, aber Plattform-Lock-in.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Anpassbarkeit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Maximum:</w:t>
            </w:r>
            <w:r w:rsidDel="00000000" w:rsidR="00000000" w:rsidRPr="00000000">
              <w:rPr>
                <w:rFonts w:ascii="Google Sans Text" w:cs="Google Sans Text" w:eastAsia="Google Sans Text" w:hAnsi="Google Sans Text"/>
                <w:color w:val="1b1c1d"/>
                <w:shd w:fill="auto" w:val="clear"/>
                <w:rtl w:val="0"/>
              </w:rPr>
              <w:t xml:space="preserve"> Vollständige Kontrolle über C++/Rust-Kernel, Bibliotheken und Hardware.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Minimum:</w:t>
            </w:r>
            <w:r w:rsidDel="00000000" w:rsidR="00000000" w:rsidRPr="00000000">
              <w:rPr>
                <w:rFonts w:ascii="Google Sans Text" w:cs="Google Sans Text" w:eastAsia="Google Sans Text" w:hAnsi="Google Sans Text"/>
                <w:color w:val="1b1c1d"/>
                <w:shd w:fill="auto" w:val="clear"/>
                <w:rtl w:val="0"/>
              </w:rPr>
              <w:t xml:space="preserve"> Konfiguration der "Black-Box"-Dienste.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Minimum:</w:t>
            </w:r>
            <w:r w:rsidDel="00000000" w:rsidR="00000000" w:rsidRPr="00000000">
              <w:rPr>
                <w:rFonts w:ascii="Google Sans Text" w:cs="Google Sans Text" w:eastAsia="Google Sans Text" w:hAnsi="Google Sans Text"/>
                <w:color w:val="1b1c1d"/>
                <w:shd w:fill="auto" w:val="clear"/>
                <w:rtl w:val="0"/>
              </w:rPr>
              <w:t xml:space="preserve"> Konfiguration der "Black-Box" (API, RUs).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Wartungsaufwand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Extrem Hoch:</w:t>
            </w:r>
            <w:r w:rsidDel="00000000" w:rsidR="00000000" w:rsidRPr="00000000">
              <w:rPr>
                <w:rFonts w:ascii="Google Sans Text" w:cs="Google Sans Text" w:eastAsia="Google Sans Text" w:hAnsi="Google Sans Text"/>
                <w:color w:val="1b1c1d"/>
                <w:shd w:fill="auto" w:val="clear"/>
                <w:rtl w:val="0"/>
              </w:rPr>
              <w:t xml:space="preserve"> Erfordert dediziertes SRE- und Datenbank-Kernel-Team.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Hoch:</w:t>
            </w:r>
            <w:r w:rsidDel="00000000" w:rsidR="00000000" w:rsidRPr="00000000">
              <w:rPr>
                <w:rFonts w:ascii="Google Sans Text" w:cs="Google Sans Text" w:eastAsia="Google Sans Text" w:hAnsi="Google Sans Text"/>
                <w:color w:val="1b1c1d"/>
                <w:shd w:fill="auto" w:val="clear"/>
                <w:rtl w:val="0"/>
              </w:rPr>
              <w:t xml:space="preserve"> Verwaltung mehrerer heterogener Dienste und des "Klebstoff"-Codes.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Nahezu Null:</w:t>
            </w:r>
            <w:r w:rsidDel="00000000" w:rsidR="00000000" w:rsidRPr="00000000">
              <w:rPr>
                <w:rFonts w:ascii="Google Sans Text" w:cs="Google Sans Text" w:eastAsia="Google Sans Text" w:hAnsi="Google Sans Text"/>
                <w:color w:val="1b1c1d"/>
                <w:shd w:fill="auto" w:val="clear"/>
                <w:rtl w:val="0"/>
              </w:rPr>
              <w:t xml:space="preserve"> Vollständig verwalteter "Serverless"-Dienst.</w:t>
            </w:r>
          </w:p>
        </w:tc>
      </w:tr>
    </w:tbl>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Hybride Datenbankarchitektur C++/Rust</w:t>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um 11:44:32 MEZ</w:t>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um 11:45:21 MEZ</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