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Konvergente Datenarchitekturen für souveräne KI-Systeme: Eine Evaluation von ThemisDB im Vergleich zu Hyperscaler-Modellen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Abstract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Diese Studie analysiert den architektonischen Paradigmenwechsel in der Datenhaltung für KI-Systeme der öffentlichen Verwaltung. Untersucht wird die Ablösung föderierter „Polyglot Persistence“-Ansätze (UDS3) durch konvergente, native Multi-Modell-Datenbanken am Beispiel von ThemisDB (v1.0.0). Im Zentrum steht der Vergleich der Transaktionsintegrität (ACID vs. BASE) und der Retrieval-Latenz zwischen der lokalen Themis-Architektur und den verteilten RAG-Stacks der Hyperscaler (AWS, Azure, GCP). Die Analyse der technischen Dokumentation und des Quellcodes belegt, dass ThemisDB durch die Integration von Vektor-, Graph- und relationalen Modellen in eine einzige C++/RocksDB-Engine das Konsistenzproblem verteilter Systeme („Saga-Pattern“) eliminiert. Mit der nachgewiesenen Implementierung von BSI-konformen Sicherheitsmodulen (Apache Ranger, PKCS#11 HSM) stellt ThemisDB eine valide „Local-First“-Alternative für hochsensible Verwaltungsakte dar, die Datensouveränität mit Echtzeit-Performance verbindet.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Einleitung und Motivation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Der Souveränitätsimperativ im VCC-Ökosystem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Digitalisierung der deutschen Verwaltung steht vor einer doppelten Herausforderung: dem demografisch bedingten Fachkräftemangel und der steigenden regulatorischen Komplexität (z. B. BImSchG-Vollzug). Das VCC-Ökosystem (Veritas, Covina, Clara) wurde konzipiert, um Verwaltungsmitarbeiter durch KI-gestützte Assistenzsysteme zu entlasten.1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technische Kernanforderung ist ein „Verwaltungsprozess-Backbone“ (VPB), der probabilistische KI-Generierung (Retrieval-Augmented Generation, RAG) mit der deterministischen Rechtssicherheit von Verwaltungsakten vereint. Dies erfordert eine Dateninfrastruktur, die nicht nur semantische Ähnlichkeiten findet, sondern auch kausale Zusammenhänge (Graphen) und Metadaten (Relational) transaktional sicher verarbeitet.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Das Scheitern der Polyglot Persistence (UDS3)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 ursprüngliche Datenstrategie (UDS3) folgte dem Industriestandard der „Polyglot Persistence“: Die Nutzung spezialisierter Datenbanken für jeden Datentyp (Neo4j für Graphen, ChromaDB für Vektoren, PostgreSQL für Metadaten).1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Diese Architektur scheiterte an der Transaktionsintegrität. Da keine globale Transaktionsklammer existiert, musste für modellübergreifende Operationen (z. B. DSGVO-Löschung) das Saga-Pattern implementiert werden. Dies führt systemimmanent zu „Eventual Consistency“ (BASE). Für rechtsverbindliche Bescheide ist der Zustand „eventuell korrekt“ jedoch inakzeptabel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ThemisDB: Architektur einer konvergenten Datenbank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ThemisDB (Version 1.0.0) adressiert diese Defizite durch den Ansatz der </w:t>
      </w:r>
      <w:r w:rsidDel="00000000" w:rsidR="00000000" w:rsidRPr="00000000">
        <w:rPr>
          <w:rFonts w:ascii="Google Sans Text" w:cs="Google Sans Text" w:eastAsia="Google Sans Text" w:hAnsi="Google Sans Text"/>
          <w:b w:val="1"/>
          <w:bCs w:val="1"/>
          <w:color w:val="1f1f1f"/>
          <w:rtl w:val="0"/>
        </w:rPr>
        <w:t xml:space="preserve">„Converged Database“</w:t>
      </w:r>
      <w:r w:rsidDel="00000000" w:rsidR="00000000" w:rsidRPr="00000000">
        <w:rPr>
          <w:rFonts w:ascii="Google Sans Text" w:cs="Google Sans Text" w:eastAsia="Google Sans Text" w:hAnsi="Google Sans Text"/>
          <w:color w:val="1f1f1f"/>
          <w:rtl w:val="0"/>
        </w:rPr>
        <w:t xml:space="preserve"> (Native Multi-Model). Anstatt Systeme zu koppeln, integriert sie alle Modelle in eine einzige, monolithische Engine.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Core Engine: C++ und RocksDB TransactionDB</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Das Fundament bildet eine in </w:t>
      </w:r>
      <w:r w:rsidDel="00000000" w:rsidR="00000000" w:rsidRPr="00000000">
        <w:rPr>
          <w:rFonts w:ascii="Google Sans Text" w:cs="Google Sans Text" w:eastAsia="Google Sans Text" w:hAnsi="Google Sans Text"/>
          <w:b w:val="1"/>
          <w:bCs w:val="1"/>
          <w:color w:val="1f1f1f"/>
          <w:rtl w:val="0"/>
        </w:rPr>
        <w:t xml:space="preserve">C++20</w:t>
      </w:r>
      <w:r w:rsidDel="00000000" w:rsidR="00000000" w:rsidRPr="00000000">
        <w:rPr>
          <w:rFonts w:ascii="Google Sans Text" w:cs="Google Sans Text" w:eastAsia="Google Sans Text" w:hAnsi="Google Sans Text"/>
          <w:color w:val="1f1f1f"/>
          <w:rtl w:val="0"/>
        </w:rPr>
        <w:t xml:space="preserve"> entwickelte Engine, die </w:t>
      </w:r>
      <w:r w:rsidDel="00000000" w:rsidR="00000000" w:rsidRPr="00000000">
        <w:rPr>
          <w:rFonts w:ascii="Google Sans Text" w:cs="Google Sans Text" w:eastAsia="Google Sans Text" w:hAnsi="Google Sans Text"/>
          <w:b w:val="1"/>
          <w:bCs w:val="1"/>
          <w:color w:val="1f1f1f"/>
          <w:rtl w:val="0"/>
        </w:rPr>
        <w:t xml:space="preserve">Intel TBB</w:t>
      </w:r>
      <w:r w:rsidDel="00000000" w:rsidR="00000000" w:rsidRPr="00000000">
        <w:rPr>
          <w:rFonts w:ascii="Google Sans Text" w:cs="Google Sans Text" w:eastAsia="Google Sans Text" w:hAnsi="Google Sans Text"/>
          <w:color w:val="1f1f1f"/>
          <w:rtl w:val="0"/>
        </w:rPr>
        <w:t xml:space="preserve"> (Threading Building Blocks) für massive Parallelisierung nutzt. Als Speicher-Backend dient </w:t>
      </w:r>
      <w:r w:rsidDel="00000000" w:rsidR="00000000" w:rsidRPr="00000000">
        <w:rPr>
          <w:rFonts w:ascii="Google Sans Text" w:cs="Google Sans Text" w:eastAsia="Google Sans Text" w:hAnsi="Google Sans Text"/>
          <w:b w:val="1"/>
          <w:bCs w:val="1"/>
          <w:color w:val="1f1f1f"/>
          <w:rtl w:val="0"/>
        </w:rPr>
        <w:t xml:space="preserve">RocksDB</w:t>
      </w:r>
      <w:r w:rsidDel="00000000" w:rsidR="00000000" w:rsidRPr="00000000">
        <w:rPr>
          <w:rFonts w:ascii="Google Sans Text" w:cs="Google Sans Text" w:eastAsia="Google Sans Text" w:hAnsi="Google Sans Text"/>
          <w:color w:val="1f1f1f"/>
          <w:rtl w:val="0"/>
        </w:rPr>
        <w:t xml:space="preserve"> im TransactionDB-Modus.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Single Binary / In-Process:</w:t>
      </w:r>
      <w:r w:rsidDel="00000000" w:rsidR="00000000" w:rsidRPr="00000000">
        <w:rPr>
          <w:rFonts w:ascii="Google Sans Text" w:cs="Google Sans Text" w:eastAsia="Google Sans Text" w:hAnsi="Google Sans Text"/>
          <w:color w:val="1f1f1f"/>
          <w:rtl w:val="0"/>
        </w:rPr>
        <w:t xml:space="preserve"> Durch den Verzicht auf Netzwerkkommunikation zwischen den Modellen eliminiert ThemisDB die Latenz von Microservice-Architekturen. Benchmarks belegen eine P50-Latenz von </w:t>
      </w:r>
      <w:r w:rsidDel="00000000" w:rsidR="00000000" w:rsidRPr="00000000">
        <w:rPr>
          <w:rFonts w:ascii="Google Sans Text" w:cs="Google Sans Text" w:eastAsia="Google Sans Text" w:hAnsi="Google Sans Text"/>
          <w:b w:val="1"/>
          <w:bCs w:val="1"/>
          <w:color w:val="1f1f1f"/>
          <w:rtl w:val="0"/>
        </w:rPr>
        <w:t xml:space="preserve">0,008 ms</w:t>
      </w:r>
      <w:r w:rsidDel="00000000" w:rsidR="00000000" w:rsidRPr="00000000">
        <w:rPr>
          <w:rFonts w:ascii="Google Sans Text" w:cs="Google Sans Text" w:eastAsia="Google Sans Text" w:hAnsi="Google Sans Text"/>
          <w:color w:val="1f1f1f"/>
          <w:rtl w:val="0"/>
        </w:rPr>
        <w:t xml:space="preserve"> für Punktabfragen.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MVCC &amp; ACID:</w:t>
      </w:r>
      <w:r w:rsidDel="00000000" w:rsidR="00000000" w:rsidRPr="00000000">
        <w:rPr>
          <w:rFonts w:ascii="Google Sans Text" w:cs="Google Sans Text" w:eastAsia="Google Sans Text" w:hAnsi="Google Sans Text"/>
          <w:color w:val="1f1f1f"/>
          <w:rtl w:val="0"/>
        </w:rPr>
        <w:t xml:space="preserve"> ThemisDB implementiert </w:t>
      </w:r>
      <w:r w:rsidDel="00000000" w:rsidR="00000000" w:rsidRPr="00000000">
        <w:rPr>
          <w:rFonts w:ascii="Google Sans Text" w:cs="Google Sans Text" w:eastAsia="Google Sans Text" w:hAnsi="Google Sans Text"/>
          <w:b w:val="1"/>
          <w:bCs w:val="1"/>
          <w:color w:val="1f1f1f"/>
          <w:rtl w:val="0"/>
        </w:rPr>
        <w:t xml:space="preserve">Multi-Version Concurrency Control (MVCC)</w:t>
      </w:r>
      <w:r w:rsidDel="00000000" w:rsidR="00000000" w:rsidRPr="00000000">
        <w:rPr>
          <w:rFonts w:ascii="Google Sans Text" w:cs="Google Sans Text" w:eastAsia="Google Sans Text" w:hAnsi="Google Sans Text"/>
          <w:color w:val="1f1f1f"/>
          <w:rtl w:val="0"/>
        </w:rPr>
        <w:t xml:space="preserve"> mit Snapshot Isolation. Dies ermöglicht, dass Schreiboperationen (z. B. Ingestion neuer Akten) Leseoperationen (z. B. laufende KI-Analyse) nicht blockieren. Kritisch ist hierbei, dass Transaktionen atomar über Vektor-, Graph- und Relational-Daten hinweg sind. Ein COMMIT garantiert die Persistenz aller Teilaspekte oder keines einzigen.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Das Fünf-Säulen-Datenmodell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ThemisDB bildet fünf logische Modelle auf ein physisches Key-Value-Format („Base Entity“) ab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Implementierung &amp;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Strategischer Vorteil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Relational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Sekundärindizes (B-Tree auf LSM), Range-Scans, Composite-Keys.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Erlaubt deterministische Filterung (z. B. "Bescheide aus 2024").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Native Adjazenzlisten (graph:out:...). Unterstützt BFS, Dijkstra, A* und </w:t>
            </w:r>
            <w:r w:rsidDel="00000000" w:rsidR="00000000" w:rsidRPr="00000000">
              <w:rPr>
                <w:rFonts w:ascii="Google Sans Text" w:cs="Google Sans Text" w:eastAsia="Google Sans Text" w:hAnsi="Google Sans Text"/>
                <w:b w:val="1"/>
                <w:bCs w:val="1"/>
                <w:color w:val="1f1f1f"/>
                <w:shd w:fill="auto" w:val="clear"/>
                <w:rtl w:val="0"/>
              </w:rPr>
              <w:t xml:space="preserve">temporale Traversierung</w:t>
            </w:r>
            <w:r w:rsidDel="00000000" w:rsidR="00000000" w:rsidRPr="00000000">
              <w:rPr>
                <w:rFonts w:ascii="Google Sans Text" w:cs="Google Sans Text" w:eastAsia="Google Sans Text" w:hAnsi="Google Sans Text"/>
                <w:color w:val="1f1f1f"/>
                <w:shd w:fill="auto" w:val="clear"/>
                <w:rtl w:val="0"/>
              </w:rPr>
              <w:t xml:space="preserve"> (bfsAtTime).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Ermöglicht Nachvollziehbarkeit von Verwaltungsentscheidungen über die Zeit.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Vektor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Persistenter </w:t>
            </w:r>
            <w:r w:rsidDel="00000000" w:rsidR="00000000" w:rsidRPr="00000000">
              <w:rPr>
                <w:rFonts w:ascii="Google Sans Text" w:cs="Google Sans Text" w:eastAsia="Google Sans Text" w:hAnsi="Google Sans Text"/>
                <w:b w:val="1"/>
                <w:bCs w:val="1"/>
                <w:color w:val="1f1f1f"/>
                <w:shd w:fill="auto" w:val="clear"/>
                <w:rtl w:val="0"/>
              </w:rPr>
              <w:t xml:space="preserve">HNSW-Index</w:t>
            </w:r>
            <w:r w:rsidDel="00000000" w:rsidR="00000000" w:rsidRPr="00000000">
              <w:rPr>
                <w:rFonts w:ascii="Google Sans Text" w:cs="Google Sans Text" w:eastAsia="Google Sans Text" w:hAnsi="Google Sans Text"/>
                <w:color w:val="1f1f1f"/>
                <w:shd w:fill="auto" w:val="clear"/>
                <w:rtl w:val="0"/>
              </w:rPr>
              <w:t xml:space="preserve"> (L2, Cosine). Updates sind sofort transaktional sichtbar (Real-Time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Keine Synchronisationslücke zwischen Dokumenten-Upload und Auffindbarkeit.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Time-Series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Integrierte Engine mit </w:t>
            </w:r>
            <w:r w:rsidDel="00000000" w:rsidR="00000000" w:rsidRPr="00000000">
              <w:rPr>
                <w:rFonts w:ascii="Google Sans Text" w:cs="Google Sans Text" w:eastAsia="Google Sans Text" w:hAnsi="Google Sans Text"/>
                <w:b w:val="1"/>
                <w:bCs w:val="1"/>
                <w:color w:val="1f1f1f"/>
                <w:shd w:fill="auto" w:val="clear"/>
                <w:rtl w:val="0"/>
              </w:rPr>
              <w:t xml:space="preserve">Gorilla Compression</w:t>
            </w:r>
            <w:r w:rsidDel="00000000" w:rsidR="00000000" w:rsidRPr="00000000">
              <w:rPr>
                <w:rFonts w:ascii="Google Sans Text" w:cs="Google Sans Text" w:eastAsia="Google Sans Text" w:hAnsi="Google Sans Text"/>
                <w:color w:val="1f1f1f"/>
                <w:shd w:fill="auto" w:val="clear"/>
                <w:rtl w:val="0"/>
              </w:rPr>
              <w:t xml:space="preserve"> (10-20x Ratio) und Continuous Aggregates.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Speicherung von IoT-Daten (Pegelstände) direkt am Prozessobjekt.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Blob-Storage mit Pipeline-Prozessoren (Geo/Image) und Chunking-Logik.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Löst das Problem der referenziellen Integrität zwischen Datei und Metadaten.</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Advanced Query Language (AQL) &amp; Pre-Filtering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Ein Alleinstellungsmerkmal ist die Abfragesprache </w:t>
      </w:r>
      <w:r w:rsidDel="00000000" w:rsidR="00000000" w:rsidRPr="00000000">
        <w:rPr>
          <w:rFonts w:ascii="Google Sans Text" w:cs="Google Sans Text" w:eastAsia="Google Sans Text" w:hAnsi="Google Sans Text"/>
          <w:b w:val="1"/>
          <w:bCs w:val="1"/>
          <w:color w:val="1f1f1f"/>
          <w:rtl w:val="0"/>
        </w:rPr>
        <w:t xml:space="preserve">AQL</w:t>
      </w:r>
      <w:r w:rsidDel="00000000" w:rsidR="00000000" w:rsidRPr="00000000">
        <w:rPr>
          <w:rFonts w:ascii="Google Sans Text" w:cs="Google Sans Text" w:eastAsia="Google Sans Text" w:hAnsi="Google Sans Text"/>
          <w:color w:val="1f1f1f"/>
          <w:rtl w:val="0"/>
        </w:rPr>
        <w:t xml:space="preserve">, die „Interleaved Execution“ ermöglicht.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Das Problem:</w:t>
      </w:r>
      <w:r w:rsidDel="00000000" w:rsidR="00000000" w:rsidRPr="00000000">
        <w:rPr>
          <w:rFonts w:ascii="Google Sans Text" w:cs="Google Sans Text" w:eastAsia="Google Sans Text" w:hAnsi="Google Sans Text"/>
          <w:color w:val="1f1f1f"/>
          <w:rtl w:val="0"/>
        </w:rPr>
        <w:t xml:space="preserve"> In Polyglot-Systemen (AWS) muss oft erst eine Vektorsuche (kNN) durchgeführt und das Ergebnis </w:t>
      </w:r>
      <w:r w:rsidDel="00000000" w:rsidR="00000000" w:rsidRPr="00000000">
        <w:rPr>
          <w:rFonts w:ascii="Google Sans Text" w:cs="Google Sans Text" w:eastAsia="Google Sans Text" w:hAnsi="Google Sans Text"/>
          <w:i w:val="1"/>
          <w:iCs w:val="1"/>
          <w:color w:val="1f1f1f"/>
          <w:rtl w:val="0"/>
        </w:rPr>
        <w:t xml:space="preserve">nachträglich</w:t>
      </w:r>
      <w:r w:rsidDel="00000000" w:rsidR="00000000" w:rsidRPr="00000000">
        <w:rPr>
          <w:rFonts w:ascii="Google Sans Text" w:cs="Google Sans Text" w:eastAsia="Google Sans Text" w:hAnsi="Google Sans Text"/>
          <w:color w:val="1f1f1f"/>
          <w:rtl w:val="0"/>
        </w:rPr>
        <w:t xml:space="preserve"> gefiltert werden („Post-Filtering“). Dies ist ineffizient, da irrelevante Vektoren (z. B. aus falschen Jahren) gesucht werden.</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Die Themis-Lösung:</w:t>
      </w:r>
      <w:r w:rsidDel="00000000" w:rsidR="00000000" w:rsidRPr="00000000">
        <w:rPr>
          <w:rFonts w:ascii="Google Sans Text" w:cs="Google Sans Text" w:eastAsia="Google Sans Text" w:hAnsi="Google Sans Text"/>
          <w:color w:val="1f1f1f"/>
          <w:rtl w:val="0"/>
        </w:rPr>
        <w:t xml:space="preserve"> AQL erlaubt </w:t>
      </w:r>
      <w:r w:rsidDel="00000000" w:rsidR="00000000" w:rsidRPr="00000000">
        <w:rPr>
          <w:rFonts w:ascii="Google Sans Text" w:cs="Google Sans Text" w:eastAsia="Google Sans Text" w:hAnsi="Google Sans Text"/>
          <w:b w:val="1"/>
          <w:bCs w:val="1"/>
          <w:color w:val="1f1f1f"/>
          <w:rtl w:val="0"/>
        </w:rPr>
        <w:t xml:space="preserve">„Pre-Filtering“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FILTER</w:t>
      </w:r>
      <w:r w:rsidDel="00000000" w:rsidR="00000000" w:rsidRPr="00000000">
        <w:rPr>
          <w:rFonts w:ascii="Google Sans Text" w:cs="Google Sans Text" w:eastAsia="Google Sans Text" w:hAnsi="Google Sans Text"/>
          <w:color w:val="1f1f1f"/>
          <w:shd w:fill="f0f4f9" w:val="clear"/>
          <w:rtl w:val="0"/>
        </w:rPr>
        <w:t xml:space="preserve"> doc.status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'open'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AND</w:t>
      </w:r>
      <w:r w:rsidDel="00000000" w:rsidR="00000000" w:rsidRPr="00000000">
        <w:rPr>
          <w:rFonts w:ascii="Google Sans Text" w:cs="Google Sans Text" w:eastAsia="Google Sans Text" w:hAnsi="Google Sans Text"/>
          <w:color w:val="1f1f1f"/>
          <w:shd w:fill="f0f4f9" w:val="clear"/>
          <w:rtl w:val="0"/>
        </w:rPr>
        <w:t xml:space="preserve"> VECTOR_DISTANCE(doc.vec,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@query</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f1f1f"/>
          <w:sz w:val="20"/>
          <w:szCs w:val="20"/>
          <w:shd w:fill="f0f4f9" w:val="clear"/>
          <w:rtl w:val="0"/>
        </w:rPr>
        <w:t xml:space="preserve">&lt;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0.5</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Der Optimizer nutzt zuerst den relationalen Index, um das Kandidaten-Bitset einzuschränken, und führt die teure Vektorsuche </w:t>
      </w:r>
      <w:r w:rsidDel="00000000" w:rsidR="00000000" w:rsidRPr="00000000">
        <w:rPr>
          <w:rFonts w:ascii="Google Sans Text" w:cs="Google Sans Text" w:eastAsia="Google Sans Text" w:hAnsi="Google Sans Text"/>
          <w:i w:val="1"/>
          <w:iCs w:val="1"/>
          <w:color w:val="1f1f1f"/>
          <w:rtl w:val="0"/>
        </w:rPr>
        <w:t xml:space="preserve">nur</w:t>
      </w:r>
      <w:r w:rsidDel="00000000" w:rsidR="00000000" w:rsidRPr="00000000">
        <w:rPr>
          <w:rFonts w:ascii="Google Sans Text" w:cs="Google Sans Text" w:eastAsia="Google Sans Text" w:hAnsi="Google Sans Text"/>
          <w:color w:val="1f1f1f"/>
          <w:rtl w:val="0"/>
        </w:rPr>
        <w:t xml:space="preserve"> auf diesem Subset aus.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Sicherheitsarchitektur und BSI-Konformität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Entgegen älterer Planungsstände zeigt die Code-Analyse der Version 1.0.0, dass kritische Enterprise-Features bereits implementiert sind.</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Dies qualifiziert ThemisDB für den Einsatz im </w:t>
      </w:r>
      <w:r w:rsidDel="00000000" w:rsidR="00000000" w:rsidRPr="00000000">
        <w:rPr>
          <w:rFonts w:ascii="Google Sans Text" w:cs="Google Sans Text" w:eastAsia="Google Sans Text" w:hAnsi="Google Sans Text"/>
          <w:b w:val="1"/>
          <w:bCs w:val="1"/>
          <w:color w:val="1f1f1f"/>
          <w:rtl w:val="0"/>
        </w:rPr>
        <w:t xml:space="preserve">VS-NfD</w:t>
      </w:r>
      <w:r w:rsidDel="00000000" w:rsidR="00000000" w:rsidRPr="00000000">
        <w:rPr>
          <w:rFonts w:ascii="Google Sans Text" w:cs="Google Sans Text" w:eastAsia="Google Sans Text" w:hAnsi="Google Sans Text"/>
          <w:color w:val="1f1f1f"/>
          <w:rtl w:val="0"/>
        </w:rPr>
        <w:t xml:space="preserve">-Bereich (Verschlusssache – Nur für den Dienstgebrauch).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Apache Ranger Integration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Datei src/server/ranger_adapter.cpp implementiert einen vollständigen Client für </w:t>
      </w:r>
      <w:r w:rsidDel="00000000" w:rsidR="00000000" w:rsidRPr="00000000">
        <w:rPr>
          <w:rFonts w:ascii="Google Sans Text" w:cs="Google Sans Text" w:eastAsia="Google Sans Text" w:hAnsi="Google Sans Text"/>
          <w:b w:val="1"/>
          <w:bCs w:val="1"/>
          <w:color w:val="1f1f1f"/>
          <w:rtl w:val="0"/>
        </w:rPr>
        <w:t xml:space="preserve">Apache Ranger</w:t>
      </w:r>
      <w:r w:rsidDel="00000000" w:rsidR="00000000" w:rsidRPr="00000000">
        <w:rPr>
          <w:rFonts w:ascii="Google Sans Text" w:cs="Google Sans Text" w:eastAsia="Google Sans Text" w:hAnsi="Google Sans Text"/>
          <w:color w:val="1f1f1f"/>
          <w:rtl w:val="0"/>
        </w:rPr>
        <w:t xml:space="preserve"> [Code Audit].</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Funktion:</w:t>
      </w:r>
      <w:r w:rsidDel="00000000" w:rsidR="00000000" w:rsidRPr="00000000">
        <w:rPr>
          <w:rFonts w:ascii="Google Sans Text" w:cs="Google Sans Text" w:eastAsia="Google Sans Text" w:hAnsi="Google Sans Text"/>
          <w:color w:val="1f1f1f"/>
          <w:rtl w:val="0"/>
        </w:rPr>
        <w:t xml:space="preserve"> Zentrales Policy-Management. ThemisDB fragt bei Ranger an, ob User X Zugriff auf Ressource Y hat.</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Bedeutung:</w:t>
      </w:r>
      <w:r w:rsidDel="00000000" w:rsidR="00000000" w:rsidRPr="00000000">
        <w:rPr>
          <w:rFonts w:ascii="Google Sans Text" w:cs="Google Sans Text" w:eastAsia="Google Sans Text" w:hAnsi="Google Sans Text"/>
          <w:color w:val="1f1f1f"/>
          <w:rtl w:val="0"/>
        </w:rPr>
        <w:t xml:space="preserve"> Dies erfüllt die BSI-Anforderung nach einer einheitlichen, auditierbaren Autorisierungsschicht über alle Systeme hinweg.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Kryptografie und HSM (PKCS#11)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Datei src/security/hsm_provider_pkcs11.cpp belegt die Integration von </w:t>
      </w:r>
      <w:r w:rsidDel="00000000" w:rsidR="00000000" w:rsidRPr="00000000">
        <w:rPr>
          <w:rFonts w:ascii="Google Sans Text" w:cs="Google Sans Text" w:eastAsia="Google Sans Text" w:hAnsi="Google Sans Text"/>
          <w:b w:val="1"/>
          <w:bCs w:val="1"/>
          <w:color w:val="1f1f1f"/>
          <w:rtl w:val="0"/>
        </w:rPr>
        <w:t xml:space="preserve">Hardware Security Modules</w:t>
      </w:r>
      <w:r w:rsidDel="00000000" w:rsidR="00000000" w:rsidRPr="00000000">
        <w:rPr>
          <w:rFonts w:ascii="Google Sans Text" w:cs="Google Sans Text" w:eastAsia="Google Sans Text" w:hAnsi="Google Sans Text"/>
          <w:color w:val="1f1f1f"/>
          <w:rtl w:val="0"/>
        </w:rPr>
        <w:t xml:space="preserve"> (HSM) [Code Audit].</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Management:</w:t>
      </w:r>
      <w:r w:rsidDel="00000000" w:rsidR="00000000" w:rsidRPr="00000000">
        <w:rPr>
          <w:rFonts w:ascii="Google Sans Text" w:cs="Google Sans Text" w:eastAsia="Google Sans Text" w:hAnsi="Google Sans Text"/>
          <w:color w:val="1f1f1f"/>
          <w:rtl w:val="0"/>
        </w:rPr>
        <w:t xml:space="preserve"> Schlüssel (LEK/KEK) können in HSMs (z. B. Thales Luna, Utimaco) oder </w:t>
      </w:r>
      <w:r w:rsidDel="00000000" w:rsidR="00000000" w:rsidRPr="00000000">
        <w:rPr>
          <w:rFonts w:ascii="Google Sans Text" w:cs="Google Sans Text" w:eastAsia="Google Sans Text" w:hAnsi="Google Sans Text"/>
          <w:b w:val="1"/>
          <w:bCs w:val="1"/>
          <w:color w:val="1f1f1f"/>
          <w:rtl w:val="0"/>
        </w:rPr>
        <w:t xml:space="preserve">HashiCorp Vault</w:t>
      </w:r>
      <w:r w:rsidDel="00000000" w:rsidR="00000000" w:rsidRPr="00000000">
        <w:rPr>
          <w:rFonts w:ascii="Google Sans Text" w:cs="Google Sans Text" w:eastAsia="Google Sans Text" w:hAnsi="Google Sans Text"/>
          <w:color w:val="1f1f1f"/>
          <w:rtl w:val="0"/>
        </w:rPr>
        <w:t xml:space="preserve"> (vault_key_provider.cpp) sicher verwahrt werden.</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Verschlüsselung:</w:t>
      </w:r>
      <w:r w:rsidDel="00000000" w:rsidR="00000000" w:rsidRPr="00000000">
        <w:rPr>
          <w:rFonts w:ascii="Google Sans Text" w:cs="Google Sans Text" w:eastAsia="Google Sans Text" w:hAnsi="Google Sans Text"/>
          <w:color w:val="1f1f1f"/>
          <w:rtl w:val="0"/>
        </w:rPr>
        <w:t xml:space="preserve"> AES-256-GCM Feldverschlüsselung mit „Lazy Re-Encryption“ ermöglicht Key-Rotation ohne Downtime.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Revisionssicheres Audit-Log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Das Audit-System (src/utils/audit_logger.cpp) nutzt eine </w:t>
      </w:r>
      <w:r w:rsidDel="00000000" w:rsidR="00000000" w:rsidRPr="00000000">
        <w:rPr>
          <w:rFonts w:ascii="Google Sans Text" w:cs="Google Sans Text" w:eastAsia="Google Sans Text" w:hAnsi="Google Sans Text"/>
          <w:b w:val="1"/>
          <w:bCs w:val="1"/>
          <w:color w:val="1f1f1f"/>
          <w:rtl w:val="0"/>
        </w:rPr>
        <w:t xml:space="preserve">kryptografische Hash-Chain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Jeder Log-Eintrag enthält den Hash des vorherigen Eintrags. Eine nachträgliche Manipulation der Logs würde die Kette brechen und sofort erkannt werden. Dies ist essenziell für die Beweissicherheit von Verwaltungsakten.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Komparative Marktanalyse: Build vs. Buy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Der Vergleich mit Hyperscalern verdeutlicht die unterschiedlichen Schwerpunkte: </w:t>
      </w:r>
      <w:r w:rsidDel="00000000" w:rsidR="00000000" w:rsidRPr="00000000">
        <w:rPr>
          <w:rFonts w:ascii="Google Sans Text" w:cs="Google Sans Text" w:eastAsia="Google Sans Text" w:hAnsi="Google Sans Text"/>
          <w:b w:val="1"/>
          <w:bCs w:val="1"/>
          <w:color w:val="1f1f1f"/>
          <w:rtl w:val="0"/>
        </w:rPr>
        <w:t xml:space="preserve">Konsistenz &amp; Lokalität</w:t>
      </w:r>
      <w:r w:rsidDel="00000000" w:rsidR="00000000" w:rsidRPr="00000000">
        <w:rPr>
          <w:rFonts w:ascii="Google Sans Text" w:cs="Google Sans Text" w:eastAsia="Google Sans Text" w:hAnsi="Google Sans Text"/>
          <w:color w:val="1f1f1f"/>
          <w:rtl w:val="0"/>
        </w:rPr>
        <w:t xml:space="preserve"> (Themis) vs. </w:t>
      </w:r>
      <w:r w:rsidDel="00000000" w:rsidR="00000000" w:rsidRPr="00000000">
        <w:rPr>
          <w:rFonts w:ascii="Google Sans Text" w:cs="Google Sans Text" w:eastAsia="Google Sans Text" w:hAnsi="Google Sans Text"/>
          <w:b w:val="1"/>
          <w:bCs w:val="1"/>
          <w:color w:val="1f1f1f"/>
          <w:rtl w:val="0"/>
        </w:rPr>
        <w:t xml:space="preserve">Skalierung &amp; Services</w:t>
      </w:r>
      <w:r w:rsidDel="00000000" w:rsidR="00000000" w:rsidRPr="00000000">
        <w:rPr>
          <w:rFonts w:ascii="Google Sans Text" w:cs="Google Sans Text" w:eastAsia="Google Sans Text" w:hAnsi="Google Sans Text"/>
          <w:color w:val="1f1f1f"/>
          <w:rtl w:val="0"/>
        </w:rPr>
        <w:t xml:space="preserve"> (Cloud).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Vergleichstabelle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Merkmal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ThemisDB (Build / Converged)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AWS (Buy / Polyglot)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Google Cloud (Buy / Converged)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Azure (Buy / Hybrid)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Architektur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Single Binary (RocksDB)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Föderiert (Neptune + OpenSearch)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Distributed SQL (Spanner)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Multi-Model (Cosmos DB)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Konsistenz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Stark (ACID)</w:t>
            </w:r>
            <w:r w:rsidDel="00000000" w:rsidR="00000000" w:rsidRPr="00000000">
              <w:rPr>
                <w:rFonts w:ascii="Google Sans Text" w:cs="Google Sans Text" w:eastAsia="Google Sans Text" w:hAnsi="Google Sans Text"/>
                <w:color w:val="1f1f1f"/>
                <w:shd w:fill="auto" w:val="clear"/>
                <w:rtl w:val="0"/>
              </w:rPr>
              <w:t xml:space="preserve"> lokal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Eventual (Saga nötig)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Stark (External Consistency)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Wählbar (Bounded Staleness)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Latenz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Mikrosekunden</w:t>
            </w:r>
            <w:r w:rsidDel="00000000" w:rsidR="00000000" w:rsidRPr="00000000">
              <w:rPr>
                <w:rFonts w:ascii="Google Sans Text" w:cs="Google Sans Text" w:eastAsia="Google Sans Text" w:hAnsi="Google Sans Text"/>
                <w:color w:val="1f1f1f"/>
                <w:shd w:fill="auto" w:val="clear"/>
                <w:rtl w:val="0"/>
              </w:rPr>
              <w:t xml:space="preserve"> (In-Process)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Millisekunden (Netzwerk/API)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Millisekunden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Millisekunden (Netzwerk)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RAG-Strategie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Pre-Filtering</w:t>
            </w:r>
            <w:r w:rsidDel="00000000" w:rsidR="00000000" w:rsidRPr="00000000">
              <w:rPr>
                <w:rFonts w:ascii="Google Sans Text" w:cs="Google Sans Text" w:eastAsia="Google Sans Text" w:hAnsi="Google Sans Text"/>
                <w:color w:val="1f1f1f"/>
                <w:shd w:fill="auto" w:val="clear"/>
                <w:rtl w:val="0"/>
              </w:rPr>
              <w:t xml:space="preserve"> (Native AQL)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GraphRAG Toolkit (Orchestration)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GraphRAG (Vertex AI 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Hybrid Search (RRF)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Sicherheit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BSI-Ready</w:t>
            </w:r>
            <w:r w:rsidDel="00000000" w:rsidR="00000000" w:rsidRPr="00000000">
              <w:rPr>
                <w:rFonts w:ascii="Google Sans Text" w:cs="Google Sans Text" w:eastAsia="Google Sans Text" w:hAnsi="Google Sans Text"/>
                <w:color w:val="1f1f1f"/>
                <w:shd w:fill="auto" w:val="clear"/>
                <w:rtl w:val="0"/>
              </w:rPr>
              <w:t xml:space="preserve"> (Ranger/HSM)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Cloud IAM / KMS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Cloud IAM / KMS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Entra 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Betriebsmodell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Local-First / 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Managed Service (Sovereign Cloud)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Managed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Managed Service</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Analyse der Hyperscaler</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AWS:</w:t>
      </w:r>
      <w:r w:rsidDel="00000000" w:rsidR="00000000" w:rsidRPr="00000000">
        <w:rPr>
          <w:rFonts w:ascii="Google Sans Text" w:cs="Google Sans Text" w:eastAsia="Google Sans Text" w:hAnsi="Google Sans Text"/>
          <w:color w:val="1f1f1f"/>
          <w:rtl w:val="0"/>
        </w:rPr>
        <w:t xml:space="preserve"> Mit der </w:t>
      </w:r>
      <w:r w:rsidDel="00000000" w:rsidR="00000000" w:rsidRPr="00000000">
        <w:rPr>
          <w:rFonts w:ascii="Google Sans Text" w:cs="Google Sans Text" w:eastAsia="Google Sans Text" w:hAnsi="Google Sans Text"/>
          <w:b w:val="1"/>
          <w:bCs w:val="1"/>
          <w:color w:val="1f1f1f"/>
          <w:rtl w:val="0"/>
        </w:rPr>
        <w:t xml:space="preserve">European Sovereign Cloud</w:t>
      </w:r>
      <w:r w:rsidDel="00000000" w:rsidR="00000000" w:rsidRPr="00000000">
        <w:rPr>
          <w:rFonts w:ascii="Google Sans Text" w:cs="Google Sans Text" w:eastAsia="Google Sans Text" w:hAnsi="Google Sans Text"/>
          <w:color w:val="1f1f1f"/>
          <w:rtl w:val="0"/>
        </w:rPr>
        <w:t xml:space="preserve"> (ESC) bietet AWS ab Ende 2025 die stärkste Compliance-Lösung . Der Stack (Neptune + Bedrock) ist mächtig, leidet aber unter der "Polyglot"-Architektur: Graph und Vektor sind getrennte Services, was komplexe Synchronisation (Lambda-Trigger) erfordert .</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Google Cloud: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Spanner Graph</w:t>
      </w:r>
      <w:r w:rsidDel="00000000" w:rsidR="00000000" w:rsidRPr="00000000">
        <w:rPr>
          <w:rFonts w:ascii="Google Sans Text" w:cs="Google Sans Text" w:eastAsia="Google Sans Text" w:hAnsi="Google Sans Text"/>
          <w:color w:val="1f1f1f"/>
          <w:rtl w:val="0"/>
        </w:rPr>
        <w:t xml:space="preserve"> ist technologisch das einzige echte Äquivalent zu ThemisDB (SQL + Graph + Vektor in einer Engine).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Problem: In der souveränen </w:t>
      </w:r>
      <w:r w:rsidDel="00000000" w:rsidR="00000000" w:rsidRPr="00000000">
        <w:rPr>
          <w:rFonts w:ascii="Google Sans Text" w:cs="Google Sans Text" w:eastAsia="Google Sans Text" w:hAnsi="Google Sans Text"/>
          <w:b w:val="1"/>
          <w:bCs w:val="1"/>
          <w:color w:val="1f1f1f"/>
          <w:rtl w:val="0"/>
        </w:rPr>
        <w:t xml:space="preserve">T-Systems Cloud</w:t>
      </w:r>
      <w:r w:rsidDel="00000000" w:rsidR="00000000" w:rsidRPr="00000000">
        <w:rPr>
          <w:rFonts w:ascii="Google Sans Text" w:cs="Google Sans Text" w:eastAsia="Google Sans Text" w:hAnsi="Google Sans Text"/>
          <w:color w:val="1f1f1f"/>
          <w:rtl w:val="0"/>
        </w:rPr>
        <w:t xml:space="preserve"> sind diese neuesten Features oft nicht verfügbar oder verzögert .</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Azure:</w:t>
      </w:r>
      <w:r w:rsidDel="00000000" w:rsidR="00000000" w:rsidRPr="00000000">
        <w:rPr>
          <w:rFonts w:ascii="Google Sans Text" w:cs="Google Sans Text" w:eastAsia="Google Sans Text" w:hAnsi="Google Sans Text"/>
          <w:color w:val="1f1f1f"/>
          <w:rtl w:val="0"/>
        </w:rPr>
        <w:t xml:space="preserve"> Azure wählt einen hybriden Weg. </w:t>
      </w:r>
      <w:r w:rsidDel="00000000" w:rsidR="00000000" w:rsidRPr="00000000">
        <w:rPr>
          <w:rFonts w:ascii="Google Sans Text" w:cs="Google Sans Text" w:eastAsia="Google Sans Text" w:hAnsi="Google Sans Text"/>
          <w:b w:val="1"/>
          <w:bCs w:val="1"/>
          <w:color w:val="1f1f1f"/>
          <w:rtl w:val="0"/>
        </w:rPr>
        <w:t xml:space="preserve">Cosmos DB</w:t>
      </w:r>
      <w:r w:rsidDel="00000000" w:rsidR="00000000" w:rsidRPr="00000000">
        <w:rPr>
          <w:rFonts w:ascii="Google Sans Text" w:cs="Google Sans Text" w:eastAsia="Google Sans Text" w:hAnsi="Google Sans Text"/>
          <w:color w:val="1f1f1f"/>
          <w:rtl w:val="0"/>
        </w:rPr>
        <w:t xml:space="preserve"> integriert Vektoren, und </w:t>
      </w:r>
      <w:r w:rsidDel="00000000" w:rsidR="00000000" w:rsidRPr="00000000">
        <w:rPr>
          <w:rFonts w:ascii="Google Sans Text" w:cs="Google Sans Text" w:eastAsia="Google Sans Text" w:hAnsi="Google Sans Text"/>
          <w:b w:val="1"/>
          <w:bCs w:val="1"/>
          <w:color w:val="1f1f1f"/>
          <w:rtl w:val="0"/>
        </w:rPr>
        <w:t xml:space="preserve">AI Search</w:t>
      </w:r>
      <w:r w:rsidDel="00000000" w:rsidR="00000000" w:rsidRPr="00000000">
        <w:rPr>
          <w:rFonts w:ascii="Google Sans Text" w:cs="Google Sans Text" w:eastAsia="Google Sans Text" w:hAnsi="Google Sans Text"/>
          <w:color w:val="1f1f1f"/>
          <w:rtl w:val="0"/>
        </w:rPr>
        <w:t xml:space="preserve"> bietet exzellentes Reranking (RRF).</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Es bleibt jedoch eine Cloud-Lösung mit entsprechenden Latenzen und Abhängigkeiten.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Strategische Implikation und Empfehlung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Die Analyse bestätigt, dass </w:t>
      </w:r>
      <w:r w:rsidDel="00000000" w:rsidR="00000000" w:rsidRPr="00000000">
        <w:rPr>
          <w:rFonts w:ascii="Google Sans Text" w:cs="Google Sans Text" w:eastAsia="Google Sans Text" w:hAnsi="Google Sans Text"/>
          <w:b w:val="1"/>
          <w:bCs w:val="1"/>
          <w:color w:val="1f1f1f"/>
          <w:rtl w:val="0"/>
        </w:rPr>
        <w:t xml:space="preserve">ThemisDB v1.0.0</w:t>
      </w:r>
      <w:r w:rsidDel="00000000" w:rsidR="00000000" w:rsidRPr="00000000">
        <w:rPr>
          <w:rFonts w:ascii="Google Sans Text" w:cs="Google Sans Text" w:eastAsia="Google Sans Text" w:hAnsi="Google Sans Text"/>
          <w:color w:val="1f1f1f"/>
          <w:rtl w:val="0"/>
        </w:rPr>
        <w:t xml:space="preserve"> kein experimenteller Prototyp mehr ist, sondern eine spezialisierte Hochleistungsdatenbank, die ein spezifisches Problem (ACID-Konsistenz für RAG) besser löst als generische Cloud-Dienste.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Die Lücke im Markt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 gibt keine andere Lösung am Markt, die </w:t>
      </w:r>
      <w:r w:rsidDel="00000000" w:rsidR="00000000" w:rsidRPr="00000000">
        <w:rPr>
          <w:rFonts w:ascii="Google Sans Text" w:cs="Google Sans Text" w:eastAsia="Google Sans Text" w:hAnsi="Google Sans Text"/>
          <w:b w:val="1"/>
          <w:bCs w:val="1"/>
          <w:color w:val="1f1f1f"/>
          <w:rtl w:val="0"/>
        </w:rPr>
        <w:t xml:space="preserve">Graph, Vektor und Relational</w:t>
      </w:r>
      <w:r w:rsidDel="00000000" w:rsidR="00000000" w:rsidRPr="00000000">
        <w:rPr>
          <w:rFonts w:ascii="Google Sans Text" w:cs="Google Sans Text" w:eastAsia="Google Sans Text" w:hAnsi="Google Sans Text"/>
          <w:color w:val="1f1f1f"/>
          <w:rtl w:val="0"/>
        </w:rPr>
        <w:t xml:space="preserve"> mit </w:t>
      </w:r>
      <w:r w:rsidDel="00000000" w:rsidR="00000000" w:rsidRPr="00000000">
        <w:rPr>
          <w:rFonts w:ascii="Google Sans Text" w:cs="Google Sans Text" w:eastAsia="Google Sans Text" w:hAnsi="Google Sans Text"/>
          <w:b w:val="1"/>
          <w:bCs w:val="1"/>
          <w:color w:val="1f1f1f"/>
          <w:rtl w:val="0"/>
        </w:rPr>
        <w:t xml:space="preserve">ACID-Garantien</w:t>
      </w:r>
      <w:r w:rsidDel="00000000" w:rsidR="00000000" w:rsidRPr="00000000">
        <w:rPr>
          <w:rFonts w:ascii="Google Sans Text" w:cs="Google Sans Text" w:eastAsia="Google Sans Text" w:hAnsi="Google Sans Text"/>
          <w:color w:val="1f1f1f"/>
          <w:rtl w:val="0"/>
        </w:rPr>
        <w:t xml:space="preserve"> in einer </w:t>
      </w:r>
      <w:r w:rsidDel="00000000" w:rsidR="00000000" w:rsidRPr="00000000">
        <w:rPr>
          <w:rFonts w:ascii="Google Sans Text" w:cs="Google Sans Text" w:eastAsia="Google Sans Text" w:hAnsi="Google Sans Text"/>
          <w:b w:val="1"/>
          <w:bCs w:val="1"/>
          <w:color w:val="1f1f1f"/>
          <w:rtl w:val="0"/>
        </w:rPr>
        <w:t xml:space="preserve">Embedded-Library</w:t>
      </w:r>
      <w:r w:rsidDel="00000000" w:rsidR="00000000" w:rsidRPr="00000000">
        <w:rPr>
          <w:rFonts w:ascii="Google Sans Text" w:cs="Google Sans Text" w:eastAsia="Google Sans Text" w:hAnsi="Google Sans Text"/>
          <w:color w:val="1f1f1f"/>
          <w:rtl w:val="0"/>
        </w:rPr>
        <w:t xml:space="preserve"> (Local-First) vereint und gleichzeitig </w:t>
      </w:r>
      <w:r w:rsidDel="00000000" w:rsidR="00000000" w:rsidRPr="00000000">
        <w:rPr>
          <w:rFonts w:ascii="Google Sans Text" w:cs="Google Sans Text" w:eastAsia="Google Sans Text" w:hAnsi="Google Sans Text"/>
          <w:b w:val="1"/>
          <w:bCs w:val="1"/>
          <w:color w:val="1f1f1f"/>
          <w:rtl w:val="0"/>
        </w:rPr>
        <w:t xml:space="preserve">BSI-konforme Sicherheit</w:t>
      </w:r>
      <w:r w:rsidDel="00000000" w:rsidR="00000000" w:rsidRPr="00000000">
        <w:rPr>
          <w:rFonts w:ascii="Google Sans Text" w:cs="Google Sans Text" w:eastAsia="Google Sans Text" w:hAnsi="Google Sans Text"/>
          <w:color w:val="1f1f1f"/>
          <w:rtl w:val="0"/>
        </w:rPr>
        <w:t xml:space="preserve"> (Ranger/HSM) bietet. Hyperscaler erzwingen Cloud-Nutzung; reine Vektor-DBs (Chroma/Milvus) fehlen Transaktionen und Graph-Logik.</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Empfohlene Zwei-Säulen-Strategie für das VCC</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Basierend auf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und dem technischen Audit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wird folgendes Vorgehen empfohlen:</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Kernsystem (ThemisDB):</w:t>
      </w:r>
      <w:r w:rsidDel="00000000" w:rsidR="00000000" w:rsidRPr="00000000">
        <w:rPr>
          <w:rFonts w:ascii="Google Sans Text" w:cs="Google Sans Text" w:eastAsia="Google Sans Text" w:hAnsi="Google Sans Text"/>
          <w:color w:val="1f1f1f"/>
          <w:rtl w:val="0"/>
        </w:rPr>
        <w:t xml:space="preserve"> Einsatz von ThemisDB als </w:t>
      </w:r>
      <w:r w:rsidDel="00000000" w:rsidR="00000000" w:rsidRPr="00000000">
        <w:rPr>
          <w:rFonts w:ascii="Google Sans Text" w:cs="Google Sans Text" w:eastAsia="Google Sans Text" w:hAnsi="Google Sans Text"/>
          <w:b w:val="1"/>
          <w:bCs w:val="1"/>
          <w:color w:val="1f1f1f"/>
          <w:rtl w:val="0"/>
        </w:rPr>
        <w:t xml:space="preserve">Verwaltungsprozess-Backbone (VPB)</w:t>
      </w:r>
      <w:r w:rsidDel="00000000" w:rsidR="00000000" w:rsidRPr="00000000">
        <w:rPr>
          <w:rFonts w:ascii="Google Sans Text" w:cs="Google Sans Text" w:eastAsia="Google Sans Text" w:hAnsi="Google Sans Text"/>
          <w:color w:val="1f1f1f"/>
          <w:rtl w:val="0"/>
        </w:rPr>
        <w:t xml:space="preserve">. Die ACID-Garantie und die nun bestätigte Ranger-Integration erlauben den rechtssicheren Betrieb on-premise. Hier werden sensible Akten und der Wissensgraph gehalten.</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Skalierung (AWS ESC):</w:t>
      </w:r>
      <w:r w:rsidDel="00000000" w:rsidR="00000000" w:rsidRPr="00000000">
        <w:rPr>
          <w:rFonts w:ascii="Google Sans Text" w:cs="Google Sans Text" w:eastAsia="Google Sans Text" w:hAnsi="Google Sans Text"/>
          <w:color w:val="1f1f1f"/>
          <w:rtl w:val="0"/>
        </w:rPr>
        <w:t xml:space="preserve"> Nutzung der </w:t>
      </w:r>
      <w:r w:rsidDel="00000000" w:rsidR="00000000" w:rsidRPr="00000000">
        <w:rPr>
          <w:rFonts w:ascii="Google Sans Text" w:cs="Google Sans Text" w:eastAsia="Google Sans Text" w:hAnsi="Google Sans Text"/>
          <w:b w:val="1"/>
          <w:bCs w:val="1"/>
          <w:color w:val="1f1f1f"/>
          <w:rtl w:val="0"/>
        </w:rPr>
        <w:t xml:space="preserve">AWS Sovereign Cloud</w:t>
      </w:r>
      <w:r w:rsidDel="00000000" w:rsidR="00000000" w:rsidRPr="00000000">
        <w:rPr>
          <w:rFonts w:ascii="Google Sans Text" w:cs="Google Sans Text" w:eastAsia="Google Sans Text" w:hAnsi="Google Sans Text"/>
          <w:color w:val="1f1f1f"/>
          <w:rtl w:val="0"/>
        </w:rPr>
        <w:t xml:space="preserve"> als Ergänzung für </w:t>
      </w:r>
      <w:r w:rsidDel="00000000" w:rsidR="00000000" w:rsidRPr="00000000">
        <w:rPr>
          <w:rFonts w:ascii="Google Sans Text" w:cs="Google Sans Text" w:eastAsia="Google Sans Text" w:hAnsi="Google Sans Text"/>
          <w:i w:val="1"/>
          <w:iCs w:val="1"/>
          <w:color w:val="1f1f1f"/>
          <w:rtl w:val="0"/>
        </w:rPr>
        <w:t xml:space="preserve">stateless</w:t>
      </w:r>
      <w:r w:rsidDel="00000000" w:rsidR="00000000" w:rsidRPr="00000000">
        <w:rPr>
          <w:rFonts w:ascii="Google Sans Text" w:cs="Google Sans Text" w:eastAsia="Google Sans Text" w:hAnsi="Google Sans Text"/>
          <w:color w:val="1f1f1f"/>
          <w:rtl w:val="0"/>
        </w:rPr>
        <w:t xml:space="preserve"> Inferenz-Workloads (LLM-Hosting via Bedrock), sobald verfügbar. Die Datenhoheit verbleibt jedoch im Themis-Kern ("Bring Your Own Data").</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Migration:</w:t>
      </w:r>
      <w:r w:rsidDel="00000000" w:rsidR="00000000" w:rsidRPr="00000000">
        <w:rPr>
          <w:rFonts w:ascii="Google Sans Text" w:cs="Google Sans Text" w:eastAsia="Google Sans Text" w:hAnsi="Google Sans Text"/>
          <w:color w:val="1f1f1f"/>
          <w:rtl w:val="0"/>
        </w:rPr>
        <w:t xml:space="preserve"> Die UDS3-Architektur (Polyglot) sollte aufgrund der unbeherrschbaren Saga-Komplexität und des Risikos von Dateninkonsistenzen aktiv abgelöst werden.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Fazit:</w:t>
      </w:r>
      <w:r w:rsidDel="00000000" w:rsidR="00000000" w:rsidRPr="00000000">
        <w:rPr>
          <w:rFonts w:ascii="Google Sans Text" w:cs="Google Sans Text" w:eastAsia="Google Sans Text" w:hAnsi="Google Sans Text"/>
          <w:color w:val="1f1f1f"/>
          <w:rtl w:val="0"/>
        </w:rPr>
        <w:t xml:space="preserve"> ThemisDB ermöglicht eine </w:t>
      </w:r>
      <w:r w:rsidDel="00000000" w:rsidR="00000000" w:rsidRPr="00000000">
        <w:rPr>
          <w:rFonts w:ascii="Google Sans Text" w:cs="Google Sans Text" w:eastAsia="Google Sans Text" w:hAnsi="Google Sans Text"/>
          <w:b w:val="1"/>
          <w:bCs w:val="1"/>
          <w:color w:val="1f1f1f"/>
          <w:rtl w:val="0"/>
        </w:rPr>
        <w:t xml:space="preserve">„Sovereign AI“</w:t>
      </w:r>
      <w:r w:rsidDel="00000000" w:rsidR="00000000" w:rsidRPr="00000000">
        <w:rPr>
          <w:rFonts w:ascii="Google Sans Text" w:cs="Google Sans Text" w:eastAsia="Google Sans Text" w:hAnsi="Google Sans Text"/>
          <w:color w:val="1f1f1f"/>
          <w:rtl w:val="0"/>
        </w:rPr>
        <w:t xml:space="preserve">, die physikalisch im Rechenzentrum der Verwaltung läuft, aber funktionale Parität zu Cloud-RAG-Systemen bietet – bei überlegener Konsistenz und Latenz.</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Referenzen</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Strategische Gesamtanalyse: ThemisDB als ACID-Fundament für die RAG-LLM-Strategie der deutschen Verwaltung – Eine komparative Analyse zur Ablösung der UDS3-Architektur</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vs Azure vs Google Cloud: The Ultimate 2025 Comparison Guide - Pilotcore, Zugriff am November 30, 2025, </w:t>
      </w:r>
      <w:hyperlink r:id="rId6">
        <w:r w:rsidDel="00000000" w:rsidR="00000000" w:rsidRPr="00000000">
          <w:rPr>
            <w:rFonts w:ascii="Google Sans" w:cs="Google Sans" w:eastAsia="Google Sans" w:hAnsi="Google Sans"/>
            <w:color w:val="0000ee"/>
            <w:sz w:val="24"/>
            <w:szCs w:val="24"/>
            <w:u w:val="single"/>
            <w:rtl w:val="0"/>
          </w:rPr>
          <w:t xml:space="preserve">https://pilotcore.io/blog/aws-vs-azure-vs-google-cloud-comparison</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ThemisDB-Documentation.pdf</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Spanner Graph: Reveal relationships in your data - Google Cloud, Zugriff am November 30, 2025, </w:t>
      </w:r>
      <w:hyperlink r:id="rId7">
        <w:r w:rsidDel="00000000" w:rsidR="00000000" w:rsidRPr="00000000">
          <w:rPr>
            <w:rFonts w:ascii="Google Sans" w:cs="Google Sans" w:eastAsia="Google Sans" w:hAnsi="Google Sans"/>
            <w:color w:val="0000ee"/>
            <w:sz w:val="24"/>
            <w:szCs w:val="24"/>
            <w:u w:val="single"/>
            <w:rtl w:val="0"/>
          </w:rPr>
          <w:t xml:space="preserve">https://cloud.google.com/products/spanner/graph</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Spanner Graph overview - Google Cloud Documentation, Zugriff am November 30, 2025, </w:t>
      </w:r>
      <w:hyperlink r:id="rId8">
        <w:r w:rsidDel="00000000" w:rsidR="00000000" w:rsidRPr="00000000">
          <w:rPr>
            <w:rFonts w:ascii="Google Sans" w:cs="Google Sans" w:eastAsia="Google Sans" w:hAnsi="Google Sans"/>
            <w:color w:val="0000ee"/>
            <w:sz w:val="24"/>
            <w:szCs w:val="24"/>
            <w:u w:val="single"/>
            <w:rtl w:val="0"/>
          </w:rPr>
          <w:t xml:space="preserve">https://docs.cloud.google.com/spanner/docs/graph/overview</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query - Azure AI Search - Microsoft Learn, Zugriff am November 30, 2025, </w:t>
      </w:r>
      <w:hyperlink r:id="rId9">
        <w:r w:rsidDel="00000000" w:rsidR="00000000" w:rsidRPr="00000000">
          <w:rPr>
            <w:rFonts w:ascii="Google Sans" w:cs="Google Sans" w:eastAsia="Google Sans" w:hAnsi="Google Sans"/>
            <w:color w:val="0000ee"/>
            <w:sz w:val="24"/>
            <w:szCs w:val="24"/>
            <w:u w:val="single"/>
            <w:rtl w:val="0"/>
          </w:rPr>
          <w:t xml:space="preserve">https://learn.microsoft.com/en-us/azure/search/hybrid-search-how-to-query</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Knowledge Graphs - Azure Cosmos DB - Microsoft Learn, Zugriff am November 30, 2025, </w:t>
      </w:r>
      <w:hyperlink r:id="rId10">
        <w:r w:rsidDel="00000000" w:rsidR="00000000" w:rsidRPr="00000000">
          <w:rPr>
            <w:rFonts w:ascii="Google Sans" w:cs="Google Sans" w:eastAsia="Google Sans" w:hAnsi="Google Sans"/>
            <w:color w:val="0000ee"/>
            <w:sz w:val="24"/>
            <w:szCs w:val="24"/>
            <w:u w:val="single"/>
            <w:rtl w:val="0"/>
          </w:rPr>
          <w:t xml:space="preserve">https://learn.microsoft.com/en-us/azure/cosmos-db/gen-ai/cosmos-ai-graph</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learn.microsoft.com/en-us/azure/cosmos-db/gen-ai/cosmos-ai-graph" TargetMode="External"/><Relationship Id="rId9" Type="http://schemas.openxmlformats.org/officeDocument/2006/relationships/hyperlink" Target="https://learn.microsoft.com/en-us/azure/search/hybrid-search-how-to-query" TargetMode="External"/><Relationship Id="rId5" Type="http://schemas.openxmlformats.org/officeDocument/2006/relationships/styles" Target="styles.xml"/><Relationship Id="rId6" Type="http://schemas.openxmlformats.org/officeDocument/2006/relationships/hyperlink" Target="https://pilotcore.io/blog/aws-vs-azure-vs-google-cloud-comparison" TargetMode="External"/><Relationship Id="rId7" Type="http://schemas.openxmlformats.org/officeDocument/2006/relationships/hyperlink" Target="https://cloud.google.com/products/spanner/graph" TargetMode="External"/><Relationship Id="rId8" Type="http://schemas.openxmlformats.org/officeDocument/2006/relationships/hyperlink" Target="https://docs.cloud.google.com/spanner/docs/graph/over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