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Strategische Architekturanalyse: ThemisDB als ACID-Fundament für die RAG-LLM-Strategie der deutschen Verwaltung – Eine komparative Analyse zur Ablösung der UDS3-Architektur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Exekutive Einführung: Der Souveränitätsimperativ im demografischen Wandel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digitale Infrastruktur der öffentlichen Verwaltung in der Bundesrepublik Deutschland, und spezifisch im Land Brandenburg, sieht sich einer existenziellen Zäsur gegenüber. Zwei konvergierende Druckszenarien erzwingen ein radikales Umdenken in der IT-Strategie: Einerseits führt der demografisch bedingte Fachkräftemangel zu einer drastischen Reduktion des verfügbaren Personalkörpers, wobei Prognosen eine Stellenüberhangsquote für Experten von bis zu 93,9 % ausweisen.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Andererseits steigt die regulative Komplexität von Verwaltungsverfahren, exemplifiziert am Vollzug des Bundes-Immissionsschutzgesetzes (BImSchG), exponentiell an.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Die Lücke zwischen abnehmender Bearbeitungskapazität und zunehmender Verfahrenskomplexität droht, die staatliche Handlungsfähigkeit in der Daseinsvorsorge zu erodieren.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Als technologische Antwort auf diese Krise wurde das VCC-Ökosystem (Veritas, Covina, Clara) konzipiert – eine Suite KI-gestützter Assistenzsysteme, die Verwaltungsmitarbeiter durch Automatisierung und Wissensarbeit entlasten soll.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Das Herzstück dieser Vision ist der „Verwaltungsprozess-Backbone“ (VPB), ein digitaler Zwilling der Verwaltung, der auf einer hochkomplexen Datenarchitektur basiert.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Die technische Anforderung an diesen Backbone ist paradox: Er muss die probabilistische Flexibilität generativer KI (Retrieval-Augmented Generation, RAG) mit der deterministischen Rigidität des deutschen Verwaltungsrechts (Revisionssicherheit) vereinen.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Dieser Bericht liefert eine erschöpfende technische und strategische Analyse der </w:t>
      </w:r>
      <w:r w:rsidDel="00000000" w:rsidR="00000000" w:rsidRPr="00000000">
        <w:rPr>
          <w:rFonts w:ascii="Google Sans Text" w:cs="Google Sans Text" w:eastAsia="Google Sans Text" w:hAnsi="Google Sans Text"/>
          <w:b w:val="1"/>
          <w:bCs w:val="1"/>
          <w:color w:val="1f1f1f"/>
          <w:rtl w:val="0"/>
        </w:rPr>
        <w:t xml:space="preserve">ThemisDB</w:t>
      </w:r>
      <w:r w:rsidDel="00000000" w:rsidR="00000000" w:rsidRPr="00000000">
        <w:rPr>
          <w:rFonts w:ascii="Google Sans Text" w:cs="Google Sans Text" w:eastAsia="Google Sans Text" w:hAnsi="Google Sans Text"/>
          <w:color w:val="1f1f1f"/>
          <w:rtl w:val="0"/>
        </w:rPr>
        <w:t xml:space="preserve">, einer nativ entwickelten Multi-Modell-Datenbank (TMMDB), die als designierter Nachfolger der gescheiterten „Unified Database Strategy“ (UDS3) positioniert wird. Die Untersuchung evaluiert die interne Architektur von ThemisDB gegen die etablierten Muster der Polyglot Persistence und die Angebote souveräner Hyperscaler (AWS, Azure, GCP). Dabei liegt ein besonderer Fokus auf der technischen Tiefe der Dokumentation, der Compliance-Reife gemäß BSI-Standards und der Fähigkeit, starke ACID-Transaktionen über heterogene Datenmodelle hinweg zu garantieren.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Das Scheitern der Polyglot Persistence: Eine Autopsie der UDS3-Architektur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 die architektonische Notwendigkeit der ThemisDB zu verstehen, ist eine präzise Analyse der Versagensmuster ihres Vorgängers, der Unified Database Strategy (UDS3), unabdingbar. UDS3 repräsentierte den klassischen Ansatz der „Polyglot Persistence“ – eine Föderation spezialisierter „Best-of-Breed“-Datenbanken: Eine Graph-Datenbank (z. B. Neo4j) zur Modellierung von Prozessbeziehungen, eine Vektor-Datenbank (z. B. ChromaDB) für die semantische Ähnlichkeitssuche und eine relationale Datenbank (z. B. PostgreSQL) für Metadaten und Audit-Logging.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Das Konsistenz-Dilemma: ACID vs. BASE in der Verwaltung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Der fatale Konstruktionsfehler der UDS3-Architektur lag nicht in der Funktionalität der Einzelkomponenten, sondern in der Transaktionsintegrität des Gesamtsystems. In einer verteilten Polyglot-Umgebung existiert kein globaler Transaktionsmonitor, der atomare Operationen über Graph-, Vektor- und Relational-Speicher hinweg garantieren kann.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Um Datenkonsistenz zu wahren – beispielsweise bei der Löschung eines Dokuments, das in allen drei Speichern referenziert wird –, musste die Architektur auf das </w:t>
      </w:r>
      <w:r w:rsidDel="00000000" w:rsidR="00000000" w:rsidRPr="00000000">
        <w:rPr>
          <w:rFonts w:ascii="Google Sans Text" w:cs="Google Sans Text" w:eastAsia="Google Sans Text" w:hAnsi="Google Sans Text"/>
          <w:b w:val="1"/>
          <w:bCs w:val="1"/>
          <w:color w:val="1f1f1f"/>
          <w:rtl w:val="0"/>
        </w:rPr>
        <w:t xml:space="preserve">Saga-Pattern</w:t>
      </w:r>
      <w:r w:rsidDel="00000000" w:rsidR="00000000" w:rsidRPr="00000000">
        <w:rPr>
          <w:rFonts w:ascii="Google Sans Text" w:cs="Google Sans Text" w:eastAsia="Google Sans Text" w:hAnsi="Google Sans Text"/>
          <w:color w:val="1f1f1f"/>
          <w:rtl w:val="0"/>
        </w:rPr>
        <w:t xml:space="preserve"> zurückgreifen.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Eine Saga ist eine Kette lokaler Transaktionen, bei der im Fehlerfall komplexe kompensierende Transaktionen (Rollbacks) ausgelöst werden müssen, um das System in einen konsistenten Zustand zurückzuführen.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Dieses Muster garantiert jedoch lediglich eine „Eventual Consistency“ (BASE-Modell: Basically Available, Soft state, Eventual consistency).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Für E-Commerce-Plattformen mag dies akzeptabel sein; für rechtsverbindliche Verwaltungsakte ist es katastrophal.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Stellen Sie sich vor, ein sensibles Dokument wird aufgrund einer DSGVO-Löschanfrage aus dem relationalen Metadaten-Speicher entfernt. Aufgrund von Replikationslatenz oder einer fehlgeschlagenen Saga-Kompensation verbleibt der Vektor-Embedding-Eintrag jedoch für Millisekunden oder Sekunden im Vektor-Index. Ein parallel laufender RAG-Prozess könnte dieses „Geister-Embedding“ finden, den (eigentlich gelöschten) Inhalt halluzinieren und in einen Verwaltungsbescheid integrieren.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Das Ergebnis wäre ein datenschutzrechtlicher Verstoß und ein anfechtbarer Verwaltungsakt. Die operative Komplexität, dieses Risiko durch „Saga Logs“ zu mitigieren, erwies sich als unbeherrschbar.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Der Semantische Impedanz-Mismatch und das Post-Filtering-Problem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Neben der Konsistenzproblematik führt der Polyglot-Ansatz zu massiven Ineffizienzen bei RAG-Workloads, die als „Semantic Impedance Mismatch“ bezeichnet werden können. Eine typische Verwaltungsanfrage lautet: „Finde ähnliche Fälle (Vektor) zum Thema Immissionsschutz, die im Jahr 2024 (Relational) im Landkreis Havelland (Graph/Geo) verhandelt wurden.“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einer UDS3-Architektur muss die Anwendungsschicht diese Anfrage zerlegen: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Abfrage der Vektor-DB nach den Top-K ähnlichsten Dokumenten (z. B. 1000 Treffer).</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Abfrage der Graph-DB nach allen Verfahren im Landkreis Havelland.</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Abfrage der Relationalen DB nach Akten aus 2024.</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Manuelle Schnittmengenbildung (Intersection) dieser Ergebnisse im Arbeitsspeicher der Anwendung.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Dieses Verfahren wird als </w:t>
      </w:r>
      <w:r w:rsidDel="00000000" w:rsidR="00000000" w:rsidRPr="00000000">
        <w:rPr>
          <w:rFonts w:ascii="Google Sans Text" w:cs="Google Sans Text" w:eastAsia="Google Sans Text" w:hAnsi="Google Sans Text"/>
          <w:b w:val="1"/>
          <w:bCs w:val="1"/>
          <w:color w:val="1f1f1f"/>
          <w:rtl w:val="0"/>
        </w:rPr>
        <w:t xml:space="preserve">Post-Filtering</w:t>
      </w:r>
      <w:r w:rsidDel="00000000" w:rsidR="00000000" w:rsidRPr="00000000">
        <w:rPr>
          <w:rFonts w:ascii="Google Sans Text" w:cs="Google Sans Text" w:eastAsia="Google Sans Text" w:hAnsi="Google Sans Text"/>
          <w:color w:val="1f1f1f"/>
          <w:rtl w:val="0"/>
        </w:rPr>
        <w:t xml:space="preserve"> bezeichnet.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Es ist extrem ineffizient, da die Vektorsuche initial Hunderte von irrelevanter Ergebnisse liefert (z. B. Fälle aus 2010 oder anderen Landkreisen), die erst nachträglich verworfen werden. Dies verschwendet Rechenleistung und erhöht die Latenz signifikant, was die Reaktionsfähigkeit interaktiver KI-Assistenten beeinträchtigt.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ThemisDB Architektur-Tiefenanalyse: Das Native Multi-Modell-Paradigma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ThemisDB adressiert die Defizite von UDS3 durch einen radikalen Architekturwechsel hin zu einer </w:t>
      </w:r>
      <w:r w:rsidDel="00000000" w:rsidR="00000000" w:rsidRPr="00000000">
        <w:rPr>
          <w:rFonts w:ascii="Google Sans Text" w:cs="Google Sans Text" w:eastAsia="Google Sans Text" w:hAnsi="Google Sans Text"/>
          <w:b w:val="1"/>
          <w:bCs w:val="1"/>
          <w:color w:val="1f1f1f"/>
          <w:rtl w:val="0"/>
        </w:rPr>
        <w:t xml:space="preserve">Native Multi-Model Database (TMMDB)</w:t>
      </w:r>
      <w:r w:rsidDel="00000000" w:rsidR="00000000" w:rsidRPr="00000000">
        <w:rPr>
          <w:rFonts w:ascii="Google Sans Text" w:cs="Google Sans Text" w:eastAsia="Google Sans Text" w:hAnsi="Google Sans Text"/>
          <w:color w:val="1f1f1f"/>
          <w:rtl w:val="0"/>
        </w:rPr>
        <w:t xml:space="preserve">. Anstatt separate Engines zu föderieren, integriert ThemisDB alle Datenmodelle in eine einzige, monolithische Speicher-Engine mit strikten ACID-Garantien.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Der Kanonische Speicher: Das Base Entity Paradigma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Das Fundament der ThemisDB bildet das Konzept der „Base Entity“.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Unabhängig davon, ob es sich um einen relationalen Datensatz, einen Graph-Knoten, ein Vektor-Embedding oder eine Zeitreihe handelt, werden alle Daten in einem einheitlichen binären Format (VelocyPack/Bincode) serialisiert und als BLOB (Binary Large Object) gespeichert.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physische Speicherung erfolgt in einem </w:t>
      </w:r>
      <w:r w:rsidDel="00000000" w:rsidR="00000000" w:rsidRPr="00000000">
        <w:rPr>
          <w:rFonts w:ascii="Google Sans Text" w:cs="Google Sans Text" w:eastAsia="Google Sans Text" w:hAnsi="Google Sans Text"/>
          <w:b w:val="1"/>
          <w:bCs w:val="1"/>
          <w:color w:val="1f1f1f"/>
          <w:rtl w:val="0"/>
        </w:rPr>
        <w:t xml:space="preserve">RocksDB</w:t>
      </w:r>
      <w:r w:rsidDel="00000000" w:rsidR="00000000" w:rsidRPr="00000000">
        <w:rPr>
          <w:rFonts w:ascii="Google Sans Text" w:cs="Google Sans Text" w:eastAsia="Google Sans Text" w:hAnsi="Google Sans Text"/>
          <w:color w:val="1f1f1f"/>
          <w:rtl w:val="0"/>
        </w:rPr>
        <w:t xml:space="preserve">-Backend, einer hochperformanten Key-Value-Engine, die auf der Log-Structured Merge-Tree (LSM-Tree) Datenstruktur basiert.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Diese Wahl ist strategisch signifikant: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Schreiboptimierung:</w:t>
      </w:r>
      <w:r w:rsidDel="00000000" w:rsidR="00000000" w:rsidRPr="00000000">
        <w:rPr>
          <w:rFonts w:ascii="Google Sans Text" w:cs="Google Sans Text" w:eastAsia="Google Sans Text" w:hAnsi="Google Sans Text"/>
          <w:color w:val="1f1f1f"/>
          <w:rtl w:val="0"/>
        </w:rPr>
        <w:t xml:space="preserve"> LSM-Trees sind für extrem hohen Schreibdurchsatz optimiert, da Daten zunächst sequenziell in ein In-Memory-Memtable (RAM) und ein Write-Ahead-Log (WAL) auf NVMe-SSDs geschrieben werden.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Benchmarks belegen einen Durchsatz von ca. 45.000 Writes pro Sekunde, was für die Ingestion-Pipeline „Covina“ essenziell ist.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Speicherhierarchie:</w:t>
      </w:r>
      <w:r w:rsidDel="00000000" w:rsidR="00000000" w:rsidRPr="00000000">
        <w:rPr>
          <w:rFonts w:ascii="Google Sans Text" w:cs="Google Sans Text" w:eastAsia="Google Sans Text" w:hAnsi="Google Sans Text"/>
          <w:color w:val="1f1f1f"/>
          <w:rtl w:val="0"/>
        </w:rPr>
        <w:t xml:space="preserve"> ThemisDB implementiert eine ausgefeilte Speicherhierarchie. Heiße Daten residieren im Block Cache (RAM, standardmäßig 1 GB) und in den oberen Levels des LSM-Trees (L0-L5), die mit dem schnellen LZ4-Algorithmus komprimiert sind (33,8 MB/s Throughput).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Kalte, archivierte Daten wandern in das unterste Level (L6), wo ZSTD-Kompression für maximale Speicherdichte sorgt (2,8x Ratio).</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Die Lösung des Konsistenzproblems: MVCC und Snapshot Isolation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entscheidende Innovation von ThemisDB gegenüber UDS3 ist die Nutzung der TransactionDB-API von RocksDB zur Implementierung von </w:t>
      </w:r>
      <w:r w:rsidDel="00000000" w:rsidR="00000000" w:rsidRPr="00000000">
        <w:rPr>
          <w:rFonts w:ascii="Google Sans Text" w:cs="Google Sans Text" w:eastAsia="Google Sans Text" w:hAnsi="Google Sans Text"/>
          <w:b w:val="1"/>
          <w:bCs w:val="1"/>
          <w:color w:val="1f1f1f"/>
          <w:rtl w:val="0"/>
        </w:rPr>
        <w:t xml:space="preserve">Multi-Version Concurrency Control (MVCC)</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Da alle Datenmodelle physisch im selben RocksDB-Instanz liegen, können Transaktionen modellübergreifend atomar ausgeführt werden.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Eine einzelne Transaktion in ThemisDB kann gleichzeitig:</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Ein Dokument-Blob aktualisieren (Base Entity).</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Den Vektor-Indexeintrag für das neue Embedding anpassen (HNSW).</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Die Kanten im Graphen neu verknüpfen (Adjazenzlisten).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Den relationalen Status im Sekundärindex ändern.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Schlägt auch nur eine dieser Operationen fehl (z. B. durch einen Write-Write-Konflikt), wird die gesamte Transaktion automatisch und atomar zurückgerollt (Rollback).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Dies garantiert </w:t>
      </w:r>
      <w:r w:rsidDel="00000000" w:rsidR="00000000" w:rsidRPr="00000000">
        <w:rPr>
          <w:rFonts w:ascii="Google Sans Text" w:cs="Google Sans Text" w:eastAsia="Google Sans Text" w:hAnsi="Google Sans Text"/>
          <w:b w:val="1"/>
          <w:bCs w:val="1"/>
          <w:color w:val="1f1f1f"/>
          <w:rtl w:val="0"/>
        </w:rPr>
        <w:t xml:space="preserve">ACID-Konformität</w:t>
      </w:r>
      <w:r w:rsidDel="00000000" w:rsidR="00000000" w:rsidRPr="00000000">
        <w:rPr>
          <w:rFonts w:ascii="Google Sans Text" w:cs="Google Sans Text" w:eastAsia="Google Sans Text" w:hAnsi="Google Sans Text"/>
          <w:color w:val="1f1f1f"/>
          <w:rtl w:val="0"/>
        </w:rPr>
        <w:t xml:space="preserve"> statt BASE und eliminiert die Notwendigkeit für das fehlerträchtige Saga-Pattern.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Für die Verwaltung bedeutet dies: Zu jedem Zeitpunkt t ist der Datenbestand konsistent und revisionssicher. „Geisterdaten“ oder temporäre Inkonsistenzen sind systemimmanent ausgeschlossen.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Die Projektions-Layer: Überwindung der LSM-Tree-Leseschwäche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LSM-Trees haben eine inhärente Schwäche: Sie sind langsam bei Lesezugriffen, die komplexe Filter erfordern, da sie theoretisch alle SSTables scannen müssten. ThemisDB umgeht dies durch „Projektions-Layer“ – spezialisierte Indizes, die Abfragemuster auf die Primärschlüssel der Base Entities abbilden.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Relationale Projektion (Sekundärindizes)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Diese Schicht bietet SQL-ähnliche Zugriffspfade. Sie unterstützt Equality-, Range-, Composite- und Sparse-Indizes.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Struktur:</w:t>
      </w:r>
      <w:r w:rsidDel="00000000" w:rsidR="00000000" w:rsidRPr="00000000">
        <w:rPr>
          <w:rFonts w:ascii="Google Sans Text" w:cs="Google Sans Text" w:eastAsia="Google Sans Text" w:hAnsi="Google Sans Text"/>
          <w:color w:val="1f1f1f"/>
          <w:rtl w:val="0"/>
        </w:rPr>
        <w:t xml:space="preserve"> Ein Indexeintrag ist ein Key-Value-Paar in RocksDB, z. B. idx:table:column:value -&gt; primary_key.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Optimierung:</w:t>
      </w:r>
      <w:r w:rsidDel="00000000" w:rsidR="00000000" w:rsidRPr="00000000">
        <w:rPr>
          <w:rFonts w:ascii="Google Sans Text" w:cs="Google Sans Text" w:eastAsia="Google Sans Text" w:hAnsi="Google Sans Text"/>
          <w:color w:val="1f1f1f"/>
          <w:rtl w:val="0"/>
        </w:rPr>
        <w:t xml:space="preserve"> Durch den Einsatz von Prefix Extractors und Bloom Filtern (10 Bits pro Key im RAM) werden unnötige Festplattenzugriffe bei Punktabfragen vermieden.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Graph-Projektion (Index-Free Adjacency Simulation)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ThemisDB simuliert die „Index-Free Adjacency“ nativer Graph-Datenbanken. Kanten werden nicht als Fremdschlüssel, sondern als direkte Adjazenzlisten gespeichert.</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Outdex &amp; Indeg:</w:t>
      </w:r>
      <w:r w:rsidDel="00000000" w:rsidR="00000000" w:rsidRPr="00000000">
        <w:rPr>
          <w:rFonts w:ascii="Google Sans Text" w:cs="Google Sans Text" w:eastAsia="Google Sans Text" w:hAnsi="Google Sans Text"/>
          <w:color w:val="1f1f1f"/>
          <w:rtl w:val="0"/>
        </w:rPr>
        <w:t xml:space="preserve"> Ausgehende Kanten (graph:out:from_pk:edge_id -&gt; to_pk) und eingehende Kanten (graph:in...) werden so gespeichert, dass eine Graph-Traversierung (BFS, Dijkstra) lediglich schnelle sequenzielle Prefix-Scans in RocksDB erfordert.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Temporale Graphen:</w:t>
      </w:r>
      <w:r w:rsidDel="00000000" w:rsidR="00000000" w:rsidRPr="00000000">
        <w:rPr>
          <w:rFonts w:ascii="Google Sans Text" w:cs="Google Sans Text" w:eastAsia="Google Sans Text" w:hAnsi="Google Sans Text"/>
          <w:color w:val="1f1f1f"/>
          <w:rtl w:val="0"/>
        </w:rPr>
        <w:t xml:space="preserve"> Ein Alleinstellungsmerkmal ist die Unterstützung temporaler Traversierungen. Kanten besitzen valid_from und valid_to Attribute. Die Engine kann den Graphen zu jedem beliebigen historischen Zeitstempel traversieren (bfsAtTime), was für die Rekonstruktion von Verwaltungsakten unerlässlich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 Vektor-Projektion (Persistenter HNSW)</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Für die semantische Suche integriert ThemisDB einen HNSW-Index (Hierarchical Navigable Small World).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Persistenz:</w:t>
      </w:r>
      <w:r w:rsidDel="00000000" w:rsidR="00000000" w:rsidRPr="00000000">
        <w:rPr>
          <w:rFonts w:ascii="Google Sans Text" w:cs="Google Sans Text" w:eastAsia="Google Sans Text" w:hAnsi="Google Sans Text"/>
          <w:color w:val="1f1f1f"/>
          <w:rtl w:val="0"/>
        </w:rPr>
        <w:t xml:space="preserve"> Im Gegensatz zu vielen In-Memory-Vektorstores ist der HNSW-Index in ThemisDB persistent. Änderungen werden über das WAL abgesichert und Snapshots beim Shutdown gespeichert, was schnelle Neustarts (Warmstart) ermöglicht.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Metriken:</w:t>
      </w:r>
      <w:r w:rsidDel="00000000" w:rsidR="00000000" w:rsidRPr="00000000">
        <w:rPr>
          <w:rFonts w:ascii="Google Sans Text" w:cs="Google Sans Text" w:eastAsia="Google Sans Text" w:hAnsi="Google Sans Text"/>
          <w:color w:val="1f1f1f"/>
          <w:rtl w:val="0"/>
        </w:rPr>
        <w:t xml:space="preserve"> Unterstützt werden L2 (Euklidisch), Cosine und Dot Product. Die Performance liegt bei ca. 1.800 Queries/s (CPU-basiert) mit einer P50-Latenz von 0,55 ms.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Die RAG-Engine: Native Hybrid Search und Pre-Filtering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Das stärkste Argument für ThemisDB im Kontext von RAG-Anwendungen ist die Implementierung der </w:t>
      </w:r>
      <w:r w:rsidDel="00000000" w:rsidR="00000000" w:rsidRPr="00000000">
        <w:rPr>
          <w:rFonts w:ascii="Google Sans Text" w:cs="Google Sans Text" w:eastAsia="Google Sans Text" w:hAnsi="Google Sans Text"/>
          <w:b w:val="1"/>
          <w:bCs w:val="1"/>
          <w:color w:val="1f1f1f"/>
          <w:rtl w:val="0"/>
        </w:rPr>
        <w:t xml:space="preserve">Native Hybrid Search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Durch die physische Ko-Lokation von Vektor- und Metadaten-Indizes ermöglicht ThemisDB das hocheffiziente </w:t>
      </w:r>
      <w:r w:rsidDel="00000000" w:rsidR="00000000" w:rsidRPr="00000000">
        <w:rPr>
          <w:rFonts w:ascii="Google Sans Text" w:cs="Google Sans Text" w:eastAsia="Google Sans Text" w:hAnsi="Google Sans Text"/>
          <w:b w:val="1"/>
          <w:bCs w:val="1"/>
          <w:color w:val="1f1f1f"/>
          <w:rtl w:val="0"/>
        </w:rPr>
        <w:t xml:space="preserve">Pre-Filtering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Der Algorithmus der Verschränkung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 Gegensatz zum ineffizienten Post-Filtering der UDS3-Architektur (siehe 2.2) führt ThemisDB die Suche in einer optimierten Reihenfolge aus:</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Filter-Phase:</w:t>
      </w:r>
      <w:r w:rsidDel="00000000" w:rsidR="00000000" w:rsidRPr="00000000">
        <w:rPr>
          <w:rFonts w:ascii="Google Sans Text" w:cs="Google Sans Text" w:eastAsia="Google Sans Text" w:hAnsi="Google Sans Text"/>
          <w:color w:val="1f1f1f"/>
          <w:rtl w:val="0"/>
        </w:rPr>
        <w:t xml:space="preserve"> Die Engine wertet zuerst die relationalen Filter (z. B. status == 'OPEN') und Graph-Constraints (z. B. linked_to(Aktenzeichen_XY)) aus. Da diese Indizes im selben Key-Value-Store liegen, geschieht dies mit extremer Geschwindigkeit.</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Bitset-Generierung:</w:t>
      </w:r>
      <w:r w:rsidDel="00000000" w:rsidR="00000000" w:rsidRPr="00000000">
        <w:rPr>
          <w:rFonts w:ascii="Google Sans Text" w:cs="Google Sans Text" w:eastAsia="Google Sans Text" w:hAnsi="Google Sans Text"/>
          <w:color w:val="1f1f1f"/>
          <w:rtl w:val="0"/>
        </w:rPr>
        <w:t xml:space="preserve"> Das Ergebnis ist ein Bitset oder eine Liste valider Primärschlüssel (Candidate Set).</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Vektor-Suche:</w:t>
      </w:r>
      <w:r w:rsidDel="00000000" w:rsidR="00000000" w:rsidRPr="00000000">
        <w:rPr>
          <w:rFonts w:ascii="Google Sans Text" w:cs="Google Sans Text" w:eastAsia="Google Sans Text" w:hAnsi="Google Sans Text"/>
          <w:color w:val="1f1f1f"/>
          <w:rtl w:val="0"/>
        </w:rPr>
        <w:t xml:space="preserve"> Die rechenintensive HNSW-Suche (Nearest Neighbor) wird </w:t>
      </w:r>
      <w:r w:rsidDel="00000000" w:rsidR="00000000" w:rsidRPr="00000000">
        <w:rPr>
          <w:rFonts w:ascii="Google Sans Text" w:cs="Google Sans Text" w:eastAsia="Google Sans Text" w:hAnsi="Google Sans Text"/>
          <w:i w:val="1"/>
          <w:iCs w:val="1"/>
          <w:color w:val="1f1f1f"/>
          <w:rtl w:val="0"/>
        </w:rPr>
        <w:t xml:space="preserve">ausschließlich</w:t>
      </w:r>
      <w:r w:rsidDel="00000000" w:rsidR="00000000" w:rsidRPr="00000000">
        <w:rPr>
          <w:rFonts w:ascii="Google Sans Text" w:cs="Google Sans Text" w:eastAsia="Google Sans Text" w:hAnsi="Google Sans Text"/>
          <w:color w:val="1f1f1f"/>
          <w:rtl w:val="0"/>
        </w:rPr>
        <w:t xml:space="preserve"> innerhalb dieses Kandidaten-Sets ausgeführt. Der Index traversiert den Graphen, ignoriert aber Knoten, die nicht im Bitset enthalten sind.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Diese „Interleaved Execution“ reduziert den Suchraum für die Vektor-Operation drastisch, was zu einer massiven Performance-Steigerung führt und die Latenz deterministisch hält – ein entscheidender Faktor für die User Experience der VCC-Assistenten.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Query-Optimierung und Kostenmodelle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Der in ThemisDB integrierte Query Optimizer verwendet kostenbasierte Modelle, um den effizientesten Ausführungsplan zu ermitteln.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Er entscheidet dynamisch, ob ein Index-Scan, eine Graph-Traversierung oder eine Vektor-Suche der selektivste Einstiegspunkt ist. Die Dokumentation beschreibt detailliert die Nutzung von EXPLAIN und PROFILE Werkzeugen, die Entwicklern Einblick in diese Entscheidungsfindung geben, z. B. durch Metriken wie edges_expanded oder index_scan_cost.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Advanced Query Language (AQL): Die Schnittstelle zur Logik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ThemisDB abstrahiert die Komplexität seiner Multi-Modell-Engine durch die </w:t>
      </w:r>
      <w:r w:rsidDel="00000000" w:rsidR="00000000" w:rsidRPr="00000000">
        <w:rPr>
          <w:rFonts w:ascii="Google Sans Text" w:cs="Google Sans Text" w:eastAsia="Google Sans Text" w:hAnsi="Google Sans Text"/>
          <w:b w:val="1"/>
          <w:bCs w:val="1"/>
          <w:color w:val="1f1f1f"/>
          <w:rtl w:val="0"/>
        </w:rPr>
        <w:t xml:space="preserve">Advanced Query Language (AQL)</w:t>
      </w:r>
      <w:r w:rsidDel="00000000" w:rsidR="00000000" w:rsidRPr="00000000">
        <w:rPr>
          <w:rFonts w:ascii="Google Sans Text" w:cs="Google Sans Text" w:eastAsia="Google Sans Text" w:hAnsi="Google Sans Text"/>
          <w:color w:val="1f1f1f"/>
          <w:rtl w:val="0"/>
        </w:rPr>
        <w:t xml:space="preserve">. Diese Sprache ist syntaktisch an SQL angelehnt, erweitert diese jedoch um Graph- und Vektor-Semantik.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Funktionsumfang und Syntax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Der Implementierungsstatus von AQL wird mit 82 % angegeben und als produktionsreif für Core-Use-Cases bewertet.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Grundoperationen:</w:t>
      </w:r>
      <w:r w:rsidDel="00000000" w:rsidR="00000000" w:rsidRPr="00000000">
        <w:rPr>
          <w:rFonts w:ascii="Google Sans Text" w:cs="Google Sans Text" w:eastAsia="Google Sans Text" w:hAnsi="Google Sans Text"/>
          <w:color w:val="1f1f1f"/>
          <w:rtl w:val="0"/>
        </w:rPr>
        <w:t xml:space="preserve"> FOR, FILTER, SORT, LIMIT, RETURN erlauben klassische Iterationen und Projektionen.</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Graph-Traversierung:</w:t>
      </w:r>
      <w:r w:rsidDel="00000000" w:rsidR="00000000" w:rsidRPr="00000000">
        <w:rPr>
          <w:rFonts w:ascii="Google Sans Text" w:cs="Google Sans Text" w:eastAsia="Google Sans Text" w:hAnsi="Google Sans Text"/>
          <w:color w:val="1f1f1f"/>
          <w:rtl w:val="0"/>
        </w:rPr>
        <w:t xml:space="preserve"> Die Syntax FOR v, e, p IN 1..3 OUTBOUND 'start_node' GRAPH 'social' ermöglicht variable Pfadtraversierungen direkt in der Abfragesprache. Dies eliminiert die Notwendigkeit, Graph-Logik in den Anwendungscode zu verlagern.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Analytische Funktionen:</w:t>
      </w:r>
      <w:r w:rsidDel="00000000" w:rsidR="00000000" w:rsidRPr="00000000">
        <w:rPr>
          <w:rFonts w:ascii="Google Sans Text" w:cs="Google Sans Text" w:eastAsia="Google Sans Text" w:hAnsi="Google Sans Text"/>
          <w:color w:val="1f1f1f"/>
          <w:rtl w:val="0"/>
        </w:rPr>
        <w:t xml:space="preserve"> Aggregationen wie COLLECT (äquivalent zu GROUP BY) mit COUNT, SUM, AVG werden In-Memory ausgeführt und unterstützen komplexe Reporting-Anforderungen.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Subqueries und CTEs:</w:t>
      </w:r>
      <w:r w:rsidDel="00000000" w:rsidR="00000000" w:rsidRPr="00000000">
        <w:rPr>
          <w:rFonts w:ascii="Google Sans Text" w:cs="Google Sans Text" w:eastAsia="Google Sans Text" w:hAnsi="Google Sans Text"/>
          <w:color w:val="1f1f1f"/>
          <w:rtl w:val="0"/>
        </w:rPr>
        <w:t xml:space="preserve"> Die Unterstützung für WITH-Klauseln (Common Table Expressions) und korrelierte Unterabfragen (LET, RETURN aus Subquery) ermöglicht die Abbildung verschachtelter Verwaltungslogik.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Parallele Ausführung mit Intel TBB</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Ein tiefes technisches Detail der Query Engine ist ihre Parallelisierung. ThemisDB nutzt </w:t>
      </w:r>
      <w:r w:rsidDel="00000000" w:rsidR="00000000" w:rsidRPr="00000000">
        <w:rPr>
          <w:rFonts w:ascii="Google Sans Text" w:cs="Google Sans Text" w:eastAsia="Google Sans Text" w:hAnsi="Google Sans Text"/>
          <w:b w:val="1"/>
          <w:bCs w:val="1"/>
          <w:color w:val="1f1f1f"/>
          <w:rtl w:val="0"/>
        </w:rPr>
        <w:t xml:space="preserve">Intel TBB (Threading Building Blocks)</w:t>
      </w:r>
      <w:r w:rsidDel="00000000" w:rsidR="00000000" w:rsidRPr="00000000">
        <w:rPr>
          <w:rFonts w:ascii="Google Sans Text" w:cs="Google Sans Text" w:eastAsia="Google Sans Text" w:hAnsi="Google Sans Text"/>
          <w:color w:val="1f1f1f"/>
          <w:rtl w:val="0"/>
        </w:rPr>
        <w:t xml:space="preserve"> für eine Task-basierte Ausführung.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Batch-Processing:</w:t>
      </w:r>
      <w:r w:rsidDel="00000000" w:rsidR="00000000" w:rsidRPr="00000000">
        <w:rPr>
          <w:rFonts w:ascii="Google Sans Text" w:cs="Google Sans Text" w:eastAsia="Google Sans Text" w:hAnsi="Google Sans Text"/>
          <w:color w:val="1f1f1f"/>
          <w:rtl w:val="0"/>
        </w:rPr>
        <w:t xml:space="preserve"> Entity-Loading und Index-Scans werden in Batches (Standardgröße 50) zerlegt und parallel verarbeitet.</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Work-Stealing:</w:t>
      </w:r>
      <w:r w:rsidDel="00000000" w:rsidR="00000000" w:rsidRPr="00000000">
        <w:rPr>
          <w:rFonts w:ascii="Google Sans Text" w:cs="Google Sans Text" w:eastAsia="Google Sans Text" w:hAnsi="Google Sans Text"/>
          <w:color w:val="1f1f1f"/>
          <w:rtl w:val="0"/>
        </w:rPr>
        <w:t xml:space="preserve"> Der TBB-Scheduler nutzt Work-Stealing, um die Last dynamisch auf alle verfügbaren CPU-Kerne zu verteilen. Dies führt laut Benchmarks zu einem 3,5-fachen Speedup auf 8-Core-Systemen.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Sicherheit und Governance: BSI-Konformität und Enterprise-Integration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Für den Einsatz in der deutschen Verwaltung ist die Einhaltung der BSI-Standards (IT-Grundschutz) nicht verhandelbar. ThemisDB verfolgt einen „Security-First“-Ansatz, zeigt jedoch bei der Enterprise-Integration kritische Lücken.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Der Sicherheits-Stack: Produktionsreife Komponenten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 Dokumentation bescheinigt dem Sicherheits-Stack eine Abdeckung von 85 %.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Verschlüsselung (At-Rest &amp; In-Transit):</w:t>
      </w:r>
      <w:r w:rsidDel="00000000" w:rsidR="00000000" w:rsidRPr="00000000">
        <w:rPr>
          <w:rFonts w:ascii="Google Sans Text" w:cs="Google Sans Text" w:eastAsia="Google Sans Text" w:hAnsi="Google Sans Text"/>
          <w:color w:val="1f1f1f"/>
          <w:rtl w:val="0"/>
        </w:rPr>
        <w:t xml:space="preserve"> TLS 1.3 ist Standard (mit mTLS-Support). Die Datenverschlüsselung (Field-Level) nutzt AES-256-GCM. Ein Highlight ist das </w:t>
      </w:r>
      <w:r w:rsidDel="00000000" w:rsidR="00000000" w:rsidRPr="00000000">
        <w:rPr>
          <w:rFonts w:ascii="Google Sans Text" w:cs="Google Sans Text" w:eastAsia="Google Sans Text" w:hAnsi="Google Sans Text"/>
          <w:b w:val="1"/>
          <w:bCs w:val="1"/>
          <w:color w:val="1f1f1f"/>
          <w:rtl w:val="0"/>
        </w:rPr>
        <w:t xml:space="preserve">Lazy Re-Encryption</w:t>
      </w:r>
      <w:r w:rsidDel="00000000" w:rsidR="00000000" w:rsidRPr="00000000">
        <w:rPr>
          <w:rFonts w:ascii="Google Sans Text" w:cs="Google Sans Text" w:eastAsia="Google Sans Text" w:hAnsi="Google Sans Text"/>
          <w:color w:val="1f1f1f"/>
          <w:rtl w:val="0"/>
        </w:rPr>
        <w:t xml:space="preserve">-Verfahren für die Schlüsselrotation: Daten werden nicht massenhaft umgeschlüsselt (was Downtime verursachen würde), sondern beim Zugriff on-the-fly auf den neuesten Schlüssel migriert, falls sie noch mit einer alten Version verschlüsselt sind.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Revisionssichere Audit-Logs:</w:t>
      </w:r>
      <w:r w:rsidDel="00000000" w:rsidR="00000000" w:rsidRPr="00000000">
        <w:rPr>
          <w:rFonts w:ascii="Google Sans Text" w:cs="Google Sans Text" w:eastAsia="Google Sans Text" w:hAnsi="Google Sans Text"/>
          <w:color w:val="1f1f1f"/>
          <w:rtl w:val="0"/>
        </w:rPr>
        <w:t xml:space="preserve"> Das Audit-System erfasst über 65 Event-Typen (z. B. PRIVILEGE_ESCALATION_ATTEMPT). Diese Logs werden mittels eines </w:t>
      </w:r>
      <w:r w:rsidDel="00000000" w:rsidR="00000000" w:rsidRPr="00000000">
        <w:rPr>
          <w:rFonts w:ascii="Google Sans Text" w:cs="Google Sans Text" w:eastAsia="Google Sans Text" w:hAnsi="Google Sans Text"/>
          <w:b w:val="1"/>
          <w:bCs w:val="1"/>
          <w:color w:val="1f1f1f"/>
          <w:rtl w:val="0"/>
        </w:rPr>
        <w:t xml:space="preserve">Encrypt-then-Sign</w:t>
      </w:r>
      <w:r w:rsidDel="00000000" w:rsidR="00000000" w:rsidRPr="00000000">
        <w:rPr>
          <w:rFonts w:ascii="Google Sans Text" w:cs="Google Sans Text" w:eastAsia="Google Sans Text" w:hAnsi="Google Sans Text"/>
          <w:color w:val="1f1f1f"/>
          <w:rtl w:val="0"/>
        </w:rPr>
        <w:t xml:space="preserve">-Verfahrens gesichert. Eine Hash-Chain (ähnlich einer Blockchain) verknüpft die Log-Einträge kryptografisch, sodass jede nachträgliche Manipulation die Kette brechen würde.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Dies erfüllt die strengsten Anforderungen an die Revisionssicherheit.</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PII-Detection:</w:t>
      </w:r>
      <w:r w:rsidDel="00000000" w:rsidR="00000000" w:rsidRPr="00000000">
        <w:rPr>
          <w:rFonts w:ascii="Google Sans Text" w:cs="Google Sans Text" w:eastAsia="Google Sans Text" w:hAnsi="Google Sans Text"/>
          <w:color w:val="1f1f1f"/>
          <w:rtl w:val="0"/>
        </w:rPr>
        <w:t xml:space="preserve"> Eine integrierte Engine erkennt mittels Regex-Pattern personenbezogene Daten (IBAN, E-Mail, Sozialversicherungsnummern) bereits während der Ingestion und ermöglicht automatische Schwärzung oder Pseudonymisierung gemäß DSGVO Art. 5.</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Die kritische Lücke: Fehlende Ranger-Integration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Trotz dieser robusten internen Funktionen weist ThemisDB ein signifikantes Defizit bei der Integration in zentrale Enterprise-Autorisierungssysteme auf. Die BSI-Standards und moderne Data-Lake-Architekturen fordern oft eine zentrale Policy-Verwaltung über </w:t>
      </w:r>
      <w:r w:rsidDel="00000000" w:rsidR="00000000" w:rsidRPr="00000000">
        <w:rPr>
          <w:rFonts w:ascii="Google Sans Text" w:cs="Google Sans Text" w:eastAsia="Google Sans Text" w:hAnsi="Google Sans Text"/>
          <w:b w:val="1"/>
          <w:bCs w:val="1"/>
          <w:color w:val="1f1f1f"/>
          <w:rtl w:val="0"/>
        </w:rPr>
        <w:t xml:space="preserve">Apache Ranger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Die Architektur-Roadmap sieht eine Ranger-Integration vor, aber im aktuellen Code-Audit ist diese </w:t>
      </w:r>
      <w:r w:rsidDel="00000000" w:rsidR="00000000" w:rsidRPr="00000000">
        <w:rPr>
          <w:rFonts w:ascii="Google Sans Text" w:cs="Google Sans Text" w:eastAsia="Google Sans Text" w:hAnsi="Google Sans Text"/>
          <w:b w:val="1"/>
          <w:bCs w:val="1"/>
          <w:color w:val="1f1f1f"/>
          <w:rtl w:val="0"/>
        </w:rPr>
        <w:t xml:space="preserve">nicht implementiert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Die Sicherheits-Checklisten fokussieren sich lediglich auf das interne RBAC-System.</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Implikation:</w:t>
      </w:r>
      <w:r w:rsidDel="00000000" w:rsidR="00000000" w:rsidRPr="00000000">
        <w:rPr>
          <w:rFonts w:ascii="Google Sans Text" w:cs="Google Sans Text" w:eastAsia="Google Sans Text" w:hAnsi="Google Sans Text"/>
          <w:color w:val="1f1f1f"/>
          <w:rtl w:val="0"/>
        </w:rPr>
        <w:t xml:space="preserve"> Ohne Ranger-Plugin kann ThemisDB nicht nahtlos in bestehende, zentral verwaltete Sicherheitsinfrastrukturen des Bundes integriert werden, was die Zertifizierungsfähigkeit gefährdet.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Schlüsselverwaltung: Mock vs. Realität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Ein weiteres Risiko liegt in der Anbindung an Key Management Systeme (KMS). Die Dokumentation erwähnt Integrationen für HashiCorp Vault und HSMs (Hardware Security Modules) via PKCS#11. Das Code-Audit enthüllt jedoch, dass der VaultKeyProvider und Teile der PKI-Signatur-Logik aktuell noch als </w:t>
      </w:r>
      <w:r w:rsidDel="00000000" w:rsidR="00000000" w:rsidRPr="00000000">
        <w:rPr>
          <w:rFonts w:ascii="Google Sans Text" w:cs="Google Sans Text" w:eastAsia="Google Sans Text" w:hAnsi="Google Sans Text"/>
          <w:b w:val="1"/>
          <w:bCs w:val="1"/>
          <w:color w:val="1f1f1f"/>
          <w:rtl w:val="0"/>
        </w:rPr>
        <w:t xml:space="preserve">Stubs</w:t>
      </w:r>
      <w:r w:rsidDel="00000000" w:rsidR="00000000" w:rsidRPr="00000000">
        <w:rPr>
          <w:rFonts w:ascii="Google Sans Text" w:cs="Google Sans Text" w:eastAsia="Google Sans Text" w:hAnsi="Google Sans Text"/>
          <w:color w:val="1f1f1f"/>
          <w:rtl w:val="0"/>
        </w:rPr>
        <w:t xml:space="preserve"> (Platzhalter) oder </w:t>
      </w:r>
      <w:r w:rsidDel="00000000" w:rsidR="00000000" w:rsidRPr="00000000">
        <w:rPr>
          <w:rFonts w:ascii="Google Sans Text" w:cs="Google Sans Text" w:eastAsia="Google Sans Text" w:hAnsi="Google Sans Text"/>
          <w:b w:val="1"/>
          <w:bCs w:val="1"/>
          <w:color w:val="1f1f1f"/>
          <w:rtl w:val="0"/>
        </w:rPr>
        <w:t xml:space="preserve">Mocks</w:t>
      </w:r>
      <w:r w:rsidDel="00000000" w:rsidR="00000000" w:rsidRPr="00000000">
        <w:rPr>
          <w:rFonts w:ascii="Google Sans Text" w:cs="Google Sans Text" w:eastAsia="Google Sans Text" w:hAnsi="Google Sans Text"/>
          <w:color w:val="1f1f1f"/>
          <w:rtl w:val="0"/>
        </w:rPr>
        <w:t xml:space="preserve"> implementiert sind, bzw. auf OpenSSL-Software-Lösungen statt auf Hardware-Integrationen zurückgreifen.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Für einen Produktionseinsatz im VS-NfD-Bereich (Verschlusssache – Nur für den Dienstgebrauch) ist dies unzureichend.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Komparative Marktanalyse: ThemisDB vs. Hyperscaler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Entscheidung für ThemisDB („Build“) muss gegen die verfügbaren Lösungen der souveränen Hyperscaler („Buy“) abgewogen werden.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AWS European Sovereign Cloud (ESC)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 AWS ESC, die Ende 2025 mit einer Region in Brandenburg startet, stellt die stärkste Konkurrenz dar.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GraphRAG-Stack:</w:t>
      </w:r>
      <w:r w:rsidDel="00000000" w:rsidR="00000000" w:rsidRPr="00000000">
        <w:rPr>
          <w:rFonts w:ascii="Google Sans Text" w:cs="Google Sans Text" w:eastAsia="Google Sans Text" w:hAnsi="Google Sans Text"/>
          <w:color w:val="1f1f1f"/>
          <w:rtl w:val="0"/>
        </w:rPr>
        <w:t xml:space="preserve"> AWS bietet mit </w:t>
      </w:r>
      <w:r w:rsidDel="00000000" w:rsidR="00000000" w:rsidRPr="00000000">
        <w:rPr>
          <w:rFonts w:ascii="Google Sans Text" w:cs="Google Sans Text" w:eastAsia="Google Sans Text" w:hAnsi="Google Sans Text"/>
          <w:b w:val="1"/>
          <w:bCs w:val="1"/>
          <w:color w:val="1f1f1f"/>
          <w:rtl w:val="0"/>
        </w:rPr>
        <w:t xml:space="preserve">Amazon Neptune</w:t>
      </w:r>
      <w:r w:rsidDel="00000000" w:rsidR="00000000" w:rsidRPr="00000000">
        <w:rPr>
          <w:rFonts w:ascii="Google Sans Text" w:cs="Google Sans Text" w:eastAsia="Google Sans Text" w:hAnsi="Google Sans Text"/>
          <w:color w:val="1f1f1f"/>
          <w:rtl w:val="0"/>
        </w:rPr>
        <w:t xml:space="preserve"> (Graph) und </w:t>
      </w:r>
      <w:r w:rsidDel="00000000" w:rsidR="00000000" w:rsidRPr="00000000">
        <w:rPr>
          <w:rFonts w:ascii="Google Sans Text" w:cs="Google Sans Text" w:eastAsia="Google Sans Text" w:hAnsi="Google Sans Text"/>
          <w:b w:val="1"/>
          <w:bCs w:val="1"/>
          <w:color w:val="1f1f1f"/>
          <w:rtl w:val="0"/>
        </w:rPr>
        <w:t xml:space="preserve">Amazon Bedrock</w:t>
      </w:r>
      <w:r w:rsidDel="00000000" w:rsidR="00000000" w:rsidRPr="00000000">
        <w:rPr>
          <w:rFonts w:ascii="Google Sans Text" w:cs="Google Sans Text" w:eastAsia="Google Sans Text" w:hAnsi="Google Sans Text"/>
          <w:color w:val="1f1f1f"/>
          <w:rtl w:val="0"/>
        </w:rPr>
        <w:t xml:space="preserve"> (LLMs) einen vollständig integrierten, BSI-C5-konformen Stack an.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Vergleich:</w:t>
      </w:r>
      <w:r w:rsidDel="00000000" w:rsidR="00000000" w:rsidRPr="00000000">
        <w:rPr>
          <w:rFonts w:ascii="Google Sans Text" w:cs="Google Sans Text" w:eastAsia="Google Sans Text" w:hAnsi="Google Sans Text"/>
          <w:color w:val="1f1f1f"/>
          <w:rtl w:val="0"/>
        </w:rPr>
        <w:t xml:space="preserve"> Neptune ist eine dedizierte Graph-Datenbank. Um RAG zu realisieren, muss sie oft mit einem separaten Vektor-Store (z. B. OpenSearch) kombiniert werden. Dies führt zurück zum Problem der Polyglot Persistence und der eventuellen Konsistenz, wenngleich AWS durch managed Services („Neptune Analytics“) versucht, diese Lücke zu schließen. ThemisDB bietet hier durch die native Integration theoretisch eine höhere Konsistenzgarantie.</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Souveränität:</w:t>
      </w:r>
      <w:r w:rsidDel="00000000" w:rsidR="00000000" w:rsidRPr="00000000">
        <w:rPr>
          <w:rFonts w:ascii="Google Sans Text" w:cs="Google Sans Text" w:eastAsia="Google Sans Text" w:hAnsi="Google Sans Text"/>
          <w:color w:val="1f1f1f"/>
          <w:rtl w:val="0"/>
        </w:rPr>
        <w:t xml:space="preserve"> AWS ESC operiert unter einem strengen Souveränitätsmodell (Betrieb durch EU-Bürger, Kontrolle in der EU), bleibt aber eine proprietäre US-Technologie mit Vendor-Lock-in-Risiken.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Azure Delos Cloud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Azure Delos (in Partnerschaft mit SAP) bietet Microsoft-Dienste unter deutscher Jurisdiktion.</w:t>
      </w:r>
    </w:p>
    <w:p w:rsidR="00000000" w:rsidDel="00000000" w:rsidP="00000000" w:rsidRDefault="00000000" w:rsidRPr="00000000" w14:paraId="0000008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Stack:</w:t>
      </w:r>
      <w:r w:rsidDel="00000000" w:rsidR="00000000" w:rsidRPr="00000000">
        <w:rPr>
          <w:rFonts w:ascii="Google Sans Text" w:cs="Google Sans Text" w:eastAsia="Google Sans Text" w:hAnsi="Google Sans Text"/>
          <w:color w:val="1f1f1f"/>
          <w:rtl w:val="0"/>
        </w:rPr>
        <w:t xml:space="preserve"> Azure AI Search bietet Hybrid Search mit </w:t>
      </w:r>
      <w:r w:rsidDel="00000000" w:rsidR="00000000" w:rsidRPr="00000000">
        <w:rPr>
          <w:rFonts w:ascii="Google Sans Text" w:cs="Google Sans Text" w:eastAsia="Google Sans Text" w:hAnsi="Google Sans Text"/>
          <w:b w:val="1"/>
          <w:bCs w:val="1"/>
          <w:color w:val="1f1f1f"/>
          <w:rtl w:val="0"/>
        </w:rPr>
        <w:t xml:space="preserve">Reciprocal Rank Fusion (RRF)</w:t>
      </w:r>
      <w:r w:rsidDel="00000000" w:rsidR="00000000" w:rsidRPr="00000000">
        <w:rPr>
          <w:rFonts w:ascii="Google Sans Text" w:cs="Google Sans Text" w:eastAsia="Google Sans Text" w:hAnsi="Google Sans Text"/>
          <w:color w:val="1f1f1f"/>
          <w:rtl w:val="0"/>
        </w:rPr>
        <w:t xml:space="preserve">, eine direkte Konkurrenz zur RAG-Engine von ThemisDB.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Cosmos DB dient als operative Datenbank.</w:t>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Architektur:</w:t>
      </w:r>
      <w:r w:rsidDel="00000000" w:rsidR="00000000" w:rsidRPr="00000000">
        <w:rPr>
          <w:rFonts w:ascii="Google Sans Text" w:cs="Google Sans Text" w:eastAsia="Google Sans Text" w:hAnsi="Google Sans Text"/>
          <w:color w:val="1f1f1f"/>
          <w:rtl w:val="0"/>
        </w:rPr>
        <w:t xml:space="preserve"> Auch hier sind AI Search und Cosmos DB getrennte Dienste. Die Synchronisation zwischen operativen Daten (Cosmos) und Suchindex (AI Search) ist asynchron (Eventual Consistency). ThemisDBs ACID-Ansatz ist für transaktionale Integrität überlegen.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Google Distributed Cloud / T-Systems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Das Angebot von T-Systems auf Basis von Google Cloud weist eine kritische Lücke auf: Die für Googles GraphRAG-Architektur essenziellen Dienste </w:t>
      </w:r>
      <w:r w:rsidDel="00000000" w:rsidR="00000000" w:rsidRPr="00000000">
        <w:rPr>
          <w:rFonts w:ascii="Google Sans Text" w:cs="Google Sans Text" w:eastAsia="Google Sans Text" w:hAnsi="Google Sans Text"/>
          <w:b w:val="1"/>
          <w:bCs w:val="1"/>
          <w:color w:val="1f1f1f"/>
          <w:rtl w:val="0"/>
        </w:rPr>
        <w:t xml:space="preserve">Spanner Graph</w:t>
      </w:r>
      <w:r w:rsidDel="00000000" w:rsidR="00000000" w:rsidRPr="00000000">
        <w:rPr>
          <w:rFonts w:ascii="Google Sans Text" w:cs="Google Sans Text" w:eastAsia="Google Sans Text" w:hAnsi="Google Sans Text"/>
          <w:color w:val="1f1f1f"/>
          <w:rtl w:val="0"/>
        </w:rPr>
        <w:t xml:space="preserve"> und </w:t>
      </w:r>
      <w:r w:rsidDel="00000000" w:rsidR="00000000" w:rsidRPr="00000000">
        <w:rPr>
          <w:rFonts w:ascii="Google Sans Text" w:cs="Google Sans Text" w:eastAsia="Google Sans Text" w:hAnsi="Google Sans Text"/>
          <w:b w:val="1"/>
          <w:bCs w:val="1"/>
          <w:color w:val="1f1f1f"/>
          <w:rtl w:val="0"/>
        </w:rPr>
        <w:t xml:space="preserve">Vertex AI Vector Search</w:t>
      </w:r>
      <w:r w:rsidDel="00000000" w:rsidR="00000000" w:rsidRPr="00000000">
        <w:rPr>
          <w:rFonts w:ascii="Google Sans Text" w:cs="Google Sans Text" w:eastAsia="Google Sans Text" w:hAnsi="Google Sans Text"/>
          <w:color w:val="1f1f1f"/>
          <w:rtl w:val="0"/>
        </w:rPr>
        <w:t xml:space="preserve"> sind aktuell </w:t>
      </w:r>
      <w:r w:rsidDel="00000000" w:rsidR="00000000" w:rsidRPr="00000000">
        <w:rPr>
          <w:rFonts w:ascii="Google Sans Text" w:cs="Google Sans Text" w:eastAsia="Google Sans Text" w:hAnsi="Google Sans Text"/>
          <w:b w:val="1"/>
          <w:bCs w:val="1"/>
          <w:color w:val="1f1f1f"/>
          <w:rtl w:val="0"/>
        </w:rPr>
        <w:t xml:space="preserve">nicht</w:t>
      </w:r>
      <w:r w:rsidDel="00000000" w:rsidR="00000000" w:rsidRPr="00000000">
        <w:rPr>
          <w:rFonts w:ascii="Google Sans Text" w:cs="Google Sans Text" w:eastAsia="Google Sans Text" w:hAnsi="Google Sans Text"/>
          <w:color w:val="1f1f1f"/>
          <w:rtl w:val="0"/>
        </w:rPr>
        <w:t xml:space="preserve"> auf der Liste der unterstützten Dienste der T-Systems Sovereign Cloud.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Damit scheidet diese Option für den unmittelbaren VCC-Einsatz faktisch aus.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On-Premise OSS ("Hausansatz")</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Ein selbstgebauter Stack aus PostgreSQL (mit pg_vector) und Elasticsearch wird als nicht tragfähig analysiert.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Grund:</w:t>
      </w:r>
      <w:r w:rsidDel="00000000" w:rsidR="00000000" w:rsidRPr="00000000">
        <w:rPr>
          <w:rFonts w:ascii="Google Sans Text" w:cs="Google Sans Text" w:eastAsia="Google Sans Text" w:hAnsi="Google Sans Text"/>
          <w:color w:val="1f1f1f"/>
          <w:rtl w:val="0"/>
        </w:rPr>
        <w:t xml:space="preserve"> Neben dem ungelösten Saga-Problem der Polyglot-Architektur existiert für Vanilla PostgreSQL kein produktionsreifes Apache Ranger-Plugin.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Damit verletzt dieser Ansatz die zentrale BSI-Anforderung an eine einheitliche Autorisierungsschicht.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Reifegrad und Risikoanalyse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Analyse der Codebasis und Dokumentation (Stand November 2025) ergibt ein differenziertes Bild des Reifegrads von ThemisDB.</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Status der Komponenten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folgende Tabelle fasst den Entwicklungsstand basierend auf den vorliegenden Audit-Logs zusammen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Anmerkung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MVCC, RocksDB-Wrapper, Base Entity, Logging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HNSW Persistenz, Batch-Insert, KNN-Suche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Graph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Traversals (BFS/Dijkstra), Temporale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Encryption, TLS 1.3, Audit (mit Hash Chain), PII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Query Parser, Optimizer, Aggregationen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Hybrid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Implementierung der Pre-Filtering-Logik fehlt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Enterprise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Ranger Adapter fehlt, KMS sind Mocks</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Das "Build"-Risiko</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Während das Fundament (Storage, Transaktionen) exzellent ist, fehlen genau die Komponenten, die ThemisDB für den RAG-Einsatz in der Verwaltung einzigartig machen würden. Der Status „Phase 4“ für die Hybrid Search Engine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bedeutet, dass der entscheidende Performance-Vorteil (Pre-Filtering) noch nicht nutzbar ist. Auch die fehlende Ranger-Integration ist ein Showstopper für die finale BSI-Abnahme.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Strategische Gesamtempfehlung: Die Zwei-Säulen-Strategie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 Analyse führt zu einer klaren strategischen Empfehlung, die das Dilemma zwischen sofortigem Bedarf (VCC-Projektstart) und langfristiger Souveränität auflöst.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Säule 1: Langfristige Souveränität durch ThemisDB (BUILD)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Verwaltung sollte an der Entwicklung von ThemisDB festhalten. Sie ist die einzige Architektur, die das Konsistenzproblem (ACID vs. RAG) on-premise und souverän löst.</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Maßnahme:</w:t>
      </w:r>
      <w:r w:rsidDel="00000000" w:rsidR="00000000" w:rsidRPr="00000000">
        <w:rPr>
          <w:rFonts w:ascii="Google Sans Text" w:cs="Google Sans Text" w:eastAsia="Google Sans Text" w:hAnsi="Google Sans Text"/>
          <w:color w:val="1f1f1f"/>
          <w:rtl w:val="0"/>
        </w:rPr>
        <w:t xml:space="preserve"> Sofortige Repriorisierung der Entwicklung. Alle Ressourcen müssen auf die Schließung der vier kritischen Lücken fokussiert werden: </w:t>
      </w:r>
      <w:r w:rsidDel="00000000" w:rsidR="00000000" w:rsidRPr="00000000">
        <w:rPr>
          <w:rFonts w:ascii="Google Sans Text" w:cs="Google Sans Text" w:eastAsia="Google Sans Text" w:hAnsi="Google Sans Text"/>
          <w:b w:val="1"/>
          <w:bCs w:val="1"/>
          <w:color w:val="1f1f1f"/>
          <w:rtl w:val="0"/>
        </w:rPr>
        <w:t xml:space="preserve">Hybrid Search Implementierung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Spaltenverschlüsselung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Reale KMS-Anbindung</w:t>
      </w:r>
      <w:r w:rsidDel="00000000" w:rsidR="00000000" w:rsidRPr="00000000">
        <w:rPr>
          <w:rFonts w:ascii="Google Sans Text" w:cs="Google Sans Text" w:eastAsia="Google Sans Text" w:hAnsi="Google Sans Text"/>
          <w:color w:val="1f1f1f"/>
          <w:rtl w:val="0"/>
        </w:rPr>
        <w:t xml:space="preserve"> und </w:t>
      </w:r>
      <w:r w:rsidDel="00000000" w:rsidR="00000000" w:rsidRPr="00000000">
        <w:rPr>
          <w:rFonts w:ascii="Google Sans Text" w:cs="Google Sans Text" w:eastAsia="Google Sans Text" w:hAnsi="Google Sans Text"/>
          <w:b w:val="1"/>
          <w:bCs w:val="1"/>
          <w:color w:val="1f1f1f"/>
          <w:rtl w:val="0"/>
        </w:rPr>
        <w:t xml:space="preserve">Apache Ranger Adapter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Nice-to-have Features wie In-Database ML sind zu depriorisieren.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Säule 2: Taktische Brücke über AWS ESC (BUY)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 den Zeitdruck zu nehmen und dem VCC-Projekt einen sofortigen Start Ende 2025 zu ermöglichen, wird die </w:t>
      </w:r>
      <w:r w:rsidDel="00000000" w:rsidR="00000000" w:rsidRPr="00000000">
        <w:rPr>
          <w:rFonts w:ascii="Google Sans Text" w:cs="Google Sans Text" w:eastAsia="Google Sans Text" w:hAnsi="Google Sans Text"/>
          <w:b w:val="1"/>
          <w:bCs w:val="1"/>
          <w:color w:val="1f1f1f"/>
          <w:rtl w:val="0"/>
        </w:rPr>
        <w:t xml:space="preserve">AWS European Sovereign Cloud</w:t>
      </w:r>
      <w:r w:rsidDel="00000000" w:rsidR="00000000" w:rsidRPr="00000000">
        <w:rPr>
          <w:rFonts w:ascii="Google Sans Text" w:cs="Google Sans Text" w:eastAsia="Google Sans Text" w:hAnsi="Google Sans Text"/>
          <w:color w:val="1f1f1f"/>
          <w:rtl w:val="0"/>
        </w:rPr>
        <w:t xml:space="preserve"> als temporäre Brückentechnologie empfohlen.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AWS bietet in Brandenburg den vollständigsten GraphRAG-Stack (Neptune + Bedrock) mit hoher BSI-Konformität. Dies erlaubt die sofortige Entwicklung der Fachanwendungen.</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Exit-Strategie:</w:t>
      </w:r>
      <w:r w:rsidDel="00000000" w:rsidR="00000000" w:rsidRPr="00000000">
        <w:rPr>
          <w:rFonts w:ascii="Google Sans Text" w:cs="Google Sans Text" w:eastAsia="Google Sans Text" w:hAnsi="Google Sans Text"/>
          <w:color w:val="1f1f1f"/>
          <w:rtl w:val="0"/>
        </w:rPr>
        <w:t xml:space="preserve"> Die Nutzung wird auf 2–3 Jahre budgetiert. Sobald ThemisDB die Enterprise-Reife und BSI-Zertifizierung erreicht hat, erfolgt die Migration der Daten und Logik auf die eigene Infrastruktur. Dies verhindert den langfristigen Vendor-Lock-in und sichert die digitale Souveränität der deutschen Verwaltung.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Fazit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ThemisDB ist ein architektonischer Triumph, der die fundamentalen Schwächen der Polyglot Persistence überwindet und ACID-Konsistenz in die Welt der KI-gestützten Verwaltung bringt. Die technische Tiefe – von der NVMe-optimierten RocksDB-Integration bis zur kryptografisch gesicherten Audit-Kette – belegt einen hohen Engineering-Standard. Dennoch ist das System heute noch nicht einsatzbereit für den kritischen Pfad. Die Kombination aus taktischer Nutzung der AWS Sovereign Cloud und fokussierter Weiterentwicklung der ThemisDB stellt den optimalen, risikominimierten Pfad dar, um die Handlungsfähigkeit des Staates im digitalen Zeitalter zu sichern.</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Strategische Gesamtanalyse: ThemisDB als ACID-Fundament für die RAG-LLM-Strategie der deutschen Verwaltung – Eine komparative Analyse zur Ablösung der UDS3-Architektur</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ThemisDB-Documentation.pdf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