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40CF1" w14:textId="77777777" w:rsidR="006149A6" w:rsidRPr="00A51890" w:rsidRDefault="006149A6" w:rsidP="004C0A31">
      <w:pPr>
        <w:pStyle w:val="a8"/>
        <w:spacing w:line="360" w:lineRule="auto"/>
        <w:rPr>
          <w:b/>
          <w:bCs/>
          <w:sz w:val="32"/>
        </w:rPr>
      </w:pPr>
      <w:r w:rsidRPr="00A51890">
        <w:rPr>
          <w:b/>
          <w:bCs/>
          <w:sz w:val="32"/>
        </w:rPr>
        <w:t>Муниципальное автономное общеобразовательное учреждение</w:t>
      </w:r>
    </w:p>
    <w:p w14:paraId="49315424" w14:textId="77777777" w:rsidR="006149A6" w:rsidRPr="00A51890" w:rsidRDefault="006149A6" w:rsidP="006149A6">
      <w:pPr>
        <w:jc w:val="center"/>
        <w:rPr>
          <w:b/>
          <w:bCs/>
          <w:sz w:val="32"/>
          <w:szCs w:val="28"/>
        </w:rPr>
      </w:pPr>
      <w:r w:rsidRPr="00A51890">
        <w:rPr>
          <w:b/>
          <w:bCs/>
          <w:sz w:val="32"/>
          <w:szCs w:val="28"/>
        </w:rPr>
        <w:t>Центр Образования Аксиома школа №41</w:t>
      </w:r>
    </w:p>
    <w:p w14:paraId="0475B3B6" w14:textId="77777777" w:rsidR="006149A6" w:rsidRPr="00A51890" w:rsidRDefault="006149A6" w:rsidP="006149A6">
      <w:pPr>
        <w:pStyle w:val="a8"/>
        <w:spacing w:line="360" w:lineRule="auto"/>
        <w:jc w:val="center"/>
        <w:rPr>
          <w:b/>
          <w:bCs/>
          <w:sz w:val="32"/>
        </w:rPr>
      </w:pPr>
    </w:p>
    <w:p w14:paraId="327BFD4C" w14:textId="77777777" w:rsidR="006149A6" w:rsidRPr="00A51890" w:rsidRDefault="006149A6" w:rsidP="006149A6">
      <w:pPr>
        <w:pStyle w:val="a8"/>
        <w:spacing w:line="360" w:lineRule="auto"/>
        <w:jc w:val="center"/>
        <w:rPr>
          <w:b/>
          <w:bCs/>
          <w:sz w:val="32"/>
        </w:rPr>
      </w:pPr>
    </w:p>
    <w:p w14:paraId="59B11E94" w14:textId="77777777" w:rsidR="006149A6" w:rsidRPr="00A51890" w:rsidRDefault="006149A6" w:rsidP="006149A6">
      <w:pPr>
        <w:pStyle w:val="a8"/>
        <w:spacing w:line="360" w:lineRule="auto"/>
        <w:jc w:val="center"/>
        <w:rPr>
          <w:b/>
          <w:bCs/>
          <w:sz w:val="32"/>
        </w:rPr>
      </w:pPr>
    </w:p>
    <w:p w14:paraId="7AEF0906" w14:textId="77777777" w:rsidR="006149A6" w:rsidRPr="00A51890" w:rsidRDefault="006149A6" w:rsidP="006149A6">
      <w:pPr>
        <w:pStyle w:val="a8"/>
        <w:spacing w:line="360" w:lineRule="auto"/>
        <w:jc w:val="center"/>
        <w:rPr>
          <w:b/>
          <w:bCs/>
          <w:sz w:val="32"/>
        </w:rPr>
      </w:pPr>
    </w:p>
    <w:p w14:paraId="3F3A35A6" w14:textId="77777777" w:rsidR="006149A6" w:rsidRPr="00A51890" w:rsidRDefault="006149A6" w:rsidP="006149A6">
      <w:pPr>
        <w:pStyle w:val="a8"/>
        <w:spacing w:line="360" w:lineRule="auto"/>
        <w:jc w:val="center"/>
        <w:rPr>
          <w:b/>
          <w:bCs/>
          <w:sz w:val="32"/>
        </w:rPr>
      </w:pPr>
    </w:p>
    <w:p w14:paraId="3728EE8E" w14:textId="312E661C" w:rsidR="006149A6" w:rsidRPr="00A51890" w:rsidRDefault="006D4F3E" w:rsidP="006149A6">
      <w:pPr>
        <w:pStyle w:val="a8"/>
        <w:spacing w:line="360" w:lineRule="auto"/>
        <w:jc w:val="center"/>
        <w:rPr>
          <w:rFonts w:eastAsia="Times New Roman"/>
          <w:b/>
          <w:sz w:val="32"/>
          <w:lang w:eastAsia="ru-RU"/>
        </w:rPr>
      </w:pPr>
      <w:r>
        <w:rPr>
          <w:rFonts w:eastAsia="Times New Roman"/>
          <w:b/>
          <w:sz w:val="32"/>
          <w:lang w:eastAsia="ru-RU"/>
        </w:rPr>
        <w:t>ДОКЛАД</w:t>
      </w:r>
    </w:p>
    <w:p w14:paraId="3854A1D7" w14:textId="77777777" w:rsidR="006149A6" w:rsidRPr="00A51890" w:rsidRDefault="006149A6" w:rsidP="006149A6">
      <w:pPr>
        <w:pStyle w:val="a8"/>
        <w:spacing w:line="360" w:lineRule="auto"/>
        <w:jc w:val="center"/>
        <w:rPr>
          <w:rFonts w:eastAsia="Times New Roman"/>
          <w:sz w:val="32"/>
          <w:lang w:eastAsia="ru-RU"/>
        </w:rPr>
      </w:pPr>
      <w:r w:rsidRPr="00A51890">
        <w:rPr>
          <w:rFonts w:eastAsia="Times New Roman"/>
          <w:sz w:val="32"/>
          <w:lang w:eastAsia="ru-RU"/>
        </w:rPr>
        <w:t>на тему:</w:t>
      </w:r>
    </w:p>
    <w:p w14:paraId="21D1904C" w14:textId="77777777" w:rsidR="006149A6" w:rsidRPr="00A51890" w:rsidRDefault="006149A6" w:rsidP="006149A6">
      <w:pPr>
        <w:pStyle w:val="a8"/>
        <w:spacing w:line="360" w:lineRule="auto"/>
        <w:jc w:val="center"/>
        <w:rPr>
          <w:rFonts w:eastAsia="Times New Roman"/>
          <w:b/>
          <w:sz w:val="32"/>
          <w:lang w:eastAsia="ru-RU"/>
        </w:rPr>
      </w:pPr>
    </w:p>
    <w:p w14:paraId="7F996941" w14:textId="3E0F3748" w:rsidR="006149A6" w:rsidRPr="00322130" w:rsidRDefault="006149A6" w:rsidP="006149A6">
      <w:pPr>
        <w:pStyle w:val="a8"/>
        <w:spacing w:line="360" w:lineRule="auto"/>
        <w:jc w:val="center"/>
        <w:rPr>
          <w:rFonts w:eastAsia="Times New Roman"/>
          <w:b/>
          <w:sz w:val="36"/>
          <w:szCs w:val="36"/>
          <w:lang w:eastAsia="ru-RU"/>
        </w:rPr>
      </w:pPr>
      <w:r>
        <w:rPr>
          <w:rFonts w:eastAsia="Times New Roman"/>
          <w:b/>
          <w:sz w:val="40"/>
          <w:szCs w:val="36"/>
          <w:lang w:eastAsia="ru-RU"/>
        </w:rPr>
        <w:t>«</w:t>
      </w:r>
      <w:r w:rsidR="006D4F3E" w:rsidRPr="006D4F3E">
        <w:rPr>
          <w:rFonts w:eastAsia="Times New Roman"/>
          <w:b/>
          <w:sz w:val="40"/>
          <w:szCs w:val="36"/>
          <w:lang w:eastAsia="ru-RU"/>
        </w:rPr>
        <w:t>История и методы изучения клетки. Клеточная теори</w:t>
      </w:r>
      <w:r w:rsidR="006D4F3E">
        <w:rPr>
          <w:rFonts w:eastAsia="Times New Roman"/>
          <w:b/>
          <w:sz w:val="40"/>
          <w:szCs w:val="36"/>
          <w:lang w:eastAsia="ru-RU"/>
        </w:rPr>
        <w:t>я</w:t>
      </w:r>
      <w:r>
        <w:rPr>
          <w:rFonts w:eastAsia="Times New Roman"/>
          <w:b/>
          <w:sz w:val="40"/>
          <w:szCs w:val="36"/>
          <w:lang w:eastAsia="ru-RU"/>
        </w:rPr>
        <w:t>»</w:t>
      </w:r>
    </w:p>
    <w:p w14:paraId="3B67E4EA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</w:p>
    <w:p w14:paraId="1BC5BA0E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</w:p>
    <w:p w14:paraId="0B7F64C9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</w:p>
    <w:p w14:paraId="314A2140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</w:p>
    <w:p w14:paraId="03EA70DE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</w:p>
    <w:p w14:paraId="53F8953E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</w:p>
    <w:p w14:paraId="028245E4" w14:textId="77777777" w:rsidR="006149A6" w:rsidRPr="00322130" w:rsidRDefault="006149A6" w:rsidP="006149A6">
      <w:pPr>
        <w:pStyle w:val="a8"/>
        <w:jc w:val="both"/>
        <w:rPr>
          <w:rFonts w:eastAsia="Times New Roman"/>
          <w:sz w:val="36"/>
          <w:szCs w:val="36"/>
          <w:lang w:eastAsia="ru-RU"/>
        </w:rPr>
      </w:pPr>
    </w:p>
    <w:p w14:paraId="5ABFF18D" w14:textId="005007B0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Выполнил</w:t>
      </w:r>
    </w:p>
    <w:p w14:paraId="10A29122" w14:textId="53128F51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ученик </w:t>
      </w:r>
      <w:r w:rsidR="006D4F3E">
        <w:rPr>
          <w:rFonts w:eastAsia="Times New Roman"/>
          <w:lang w:eastAsia="ru-RU"/>
        </w:rPr>
        <w:t>10</w:t>
      </w:r>
      <w:r>
        <w:rPr>
          <w:rFonts w:eastAsia="Times New Roman"/>
          <w:lang w:eastAsia="ru-RU"/>
        </w:rPr>
        <w:t xml:space="preserve"> класса </w:t>
      </w:r>
      <w:r w:rsidR="006D4F3E">
        <w:rPr>
          <w:rFonts w:eastAsia="Times New Roman"/>
          <w:lang w:eastAsia="ru-RU"/>
        </w:rPr>
        <w:t>Б</w:t>
      </w:r>
    </w:p>
    <w:p w14:paraId="47A686D7" w14:textId="0C9742EB" w:rsidR="006149A6" w:rsidRDefault="006D4F3E" w:rsidP="006149A6">
      <w:pPr>
        <w:pStyle w:val="a8"/>
        <w:ind w:firstLine="851"/>
        <w:jc w:val="righ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Гольев Макар Сергеевич</w:t>
      </w:r>
    </w:p>
    <w:p w14:paraId="5A8FB681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</w:p>
    <w:p w14:paraId="565948E1" w14:textId="62F0FFF8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Проверила:</w:t>
      </w:r>
    </w:p>
    <w:p w14:paraId="3A4DCDA9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Штанько Дарья Михайловна</w:t>
      </w:r>
    </w:p>
    <w:p w14:paraId="55D791C7" w14:textId="77777777" w:rsidR="006149A6" w:rsidRDefault="006149A6" w:rsidP="006149A6">
      <w:pPr>
        <w:pStyle w:val="a8"/>
        <w:ind w:firstLine="851"/>
        <w:jc w:val="right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Подпись ____________________</w:t>
      </w:r>
    </w:p>
    <w:p w14:paraId="4A0060C6" w14:textId="77777777" w:rsidR="006149A6" w:rsidRDefault="006149A6" w:rsidP="006149A6">
      <w:pPr>
        <w:pStyle w:val="a8"/>
        <w:ind w:firstLine="851"/>
        <w:jc w:val="both"/>
        <w:rPr>
          <w:rFonts w:eastAsia="Times New Roman"/>
          <w:lang w:eastAsia="ru-RU"/>
        </w:rPr>
      </w:pPr>
    </w:p>
    <w:p w14:paraId="0B8D71D6" w14:textId="77777777" w:rsidR="006149A6" w:rsidRDefault="006149A6" w:rsidP="006149A6">
      <w:pPr>
        <w:pStyle w:val="a8"/>
        <w:ind w:firstLine="851"/>
        <w:jc w:val="both"/>
        <w:rPr>
          <w:rFonts w:eastAsia="Times New Roman"/>
          <w:lang w:eastAsia="ru-RU"/>
        </w:rPr>
      </w:pPr>
    </w:p>
    <w:p w14:paraId="4C54D36B" w14:textId="77777777" w:rsidR="006149A6" w:rsidRDefault="006149A6" w:rsidP="006149A6">
      <w:pPr>
        <w:pStyle w:val="a8"/>
        <w:ind w:firstLine="851"/>
        <w:jc w:val="both"/>
        <w:rPr>
          <w:rFonts w:eastAsia="Times New Roman"/>
          <w:lang w:eastAsia="ru-RU"/>
        </w:rPr>
      </w:pPr>
    </w:p>
    <w:p w14:paraId="6D3F7DF2" w14:textId="77777777" w:rsidR="006149A6" w:rsidRDefault="006149A6" w:rsidP="006149A6">
      <w:pPr>
        <w:pStyle w:val="a8"/>
        <w:ind w:firstLine="851"/>
        <w:jc w:val="both"/>
        <w:rPr>
          <w:rFonts w:eastAsia="Times New Roman"/>
          <w:lang w:eastAsia="ru-RU"/>
        </w:rPr>
      </w:pPr>
    </w:p>
    <w:p w14:paraId="37CF9118" w14:textId="77777777" w:rsidR="006149A6" w:rsidRDefault="006149A6" w:rsidP="006149A6">
      <w:pPr>
        <w:pStyle w:val="a8"/>
        <w:ind w:firstLine="851"/>
        <w:jc w:val="both"/>
        <w:rPr>
          <w:rFonts w:eastAsia="Times New Roman"/>
          <w:lang w:eastAsia="ru-RU"/>
        </w:rPr>
      </w:pPr>
    </w:p>
    <w:p w14:paraId="30FE1A04" w14:textId="77777777" w:rsidR="006149A6" w:rsidRDefault="006149A6" w:rsidP="006149A6">
      <w:pPr>
        <w:pStyle w:val="a8"/>
        <w:jc w:val="both"/>
        <w:rPr>
          <w:rFonts w:eastAsia="Times New Roman"/>
          <w:lang w:eastAsia="ru-RU"/>
        </w:rPr>
      </w:pPr>
    </w:p>
    <w:p w14:paraId="1F38CC32" w14:textId="77777777" w:rsidR="006149A6" w:rsidRDefault="006149A6" w:rsidP="006149A6">
      <w:pPr>
        <w:pStyle w:val="a8"/>
        <w:jc w:val="both"/>
        <w:rPr>
          <w:rFonts w:eastAsia="Times New Roman"/>
          <w:lang w:eastAsia="ru-RU"/>
        </w:rPr>
      </w:pPr>
    </w:p>
    <w:p w14:paraId="60FE4B3E" w14:textId="77777777" w:rsidR="006149A6" w:rsidRDefault="006149A6" w:rsidP="006149A6">
      <w:pPr>
        <w:pStyle w:val="a8"/>
        <w:ind w:firstLine="851"/>
        <w:jc w:val="both"/>
        <w:rPr>
          <w:rFonts w:eastAsia="Times New Roman"/>
          <w:lang w:eastAsia="ru-RU"/>
        </w:rPr>
      </w:pPr>
    </w:p>
    <w:p w14:paraId="15605A24" w14:textId="77777777" w:rsidR="006149A6" w:rsidRDefault="006149A6" w:rsidP="006D4F3E">
      <w:pPr>
        <w:pStyle w:val="a8"/>
        <w:jc w:val="both"/>
        <w:rPr>
          <w:rFonts w:eastAsia="Times New Roman"/>
          <w:lang w:eastAsia="ru-RU"/>
        </w:rPr>
      </w:pPr>
    </w:p>
    <w:p w14:paraId="3393C1C8" w14:textId="186C2839" w:rsidR="006149A6" w:rsidRPr="00B139EC" w:rsidRDefault="006149A6" w:rsidP="00B139EC">
      <w:pPr>
        <w:pStyle w:val="a8"/>
        <w:jc w:val="center"/>
        <w:rPr>
          <w:rFonts w:eastAsia="Times New Roman"/>
          <w:lang w:eastAsia="ru-RU"/>
        </w:rPr>
      </w:pPr>
      <w:proofErr w:type="spellStart"/>
      <w:r>
        <w:rPr>
          <w:rFonts w:eastAsia="Times New Roman"/>
          <w:lang w:eastAsia="ru-RU"/>
        </w:rPr>
        <w:t>г.Каменск</w:t>
      </w:r>
      <w:proofErr w:type="spellEnd"/>
      <w:r>
        <w:rPr>
          <w:rFonts w:eastAsia="Times New Roman"/>
          <w:lang w:eastAsia="ru-RU"/>
        </w:rPr>
        <w:t xml:space="preserve"> – Уральский 202</w:t>
      </w:r>
      <w:r w:rsidR="0016144D">
        <w:rPr>
          <w:rFonts w:eastAsia="Times New Roman"/>
          <w:lang w:eastAsia="ru-RU"/>
        </w:rPr>
        <w:t>5</w:t>
      </w:r>
      <w:r>
        <w:rPr>
          <w:rFonts w:eastAsia="Times New Roman"/>
          <w:lang w:eastAsia="ru-RU"/>
        </w:rPr>
        <w:t>г.</w:t>
      </w:r>
    </w:p>
    <w:p w14:paraId="467DE8D4" w14:textId="683379D5" w:rsidR="00722986" w:rsidRDefault="004C0A31" w:rsidP="002B5153">
      <w:pPr>
        <w:pStyle w:val="a8"/>
        <w:spacing w:line="360" w:lineRule="auto"/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lastRenderedPageBreak/>
        <w:t>Содержание</w:t>
      </w:r>
    </w:p>
    <w:p w14:paraId="5DD67249" w14:textId="030CD24C" w:rsidR="004C0A31" w:rsidRPr="004C0A31" w:rsidRDefault="004C0A31" w:rsidP="00B139EC">
      <w:pPr>
        <w:pStyle w:val="a8"/>
        <w:spacing w:line="360" w:lineRule="auto"/>
        <w:ind w:left="360"/>
      </w:pPr>
      <w:r w:rsidRPr="004C0A31">
        <w:rPr>
          <w:b/>
          <w:bCs/>
        </w:rPr>
        <w:t>Введение</w:t>
      </w:r>
      <w:r w:rsidRPr="004C0A31">
        <w:t xml:space="preserve"> .................................................................................</w:t>
      </w:r>
      <w:r w:rsidR="00B139EC">
        <w:t>......................3</w:t>
      </w:r>
    </w:p>
    <w:p w14:paraId="1F1B6528" w14:textId="3BE77479" w:rsidR="004C0A31" w:rsidRPr="00B139EC" w:rsidRDefault="004C0A31" w:rsidP="00B139EC">
      <w:pPr>
        <w:pStyle w:val="a8"/>
        <w:numPr>
          <w:ilvl w:val="0"/>
          <w:numId w:val="9"/>
        </w:numPr>
        <w:spacing w:line="360" w:lineRule="auto"/>
      </w:pPr>
      <w:r w:rsidRPr="004C0A31">
        <w:t>История изучения клетки ...................................................</w:t>
      </w:r>
      <w:r w:rsidR="00B139EC" w:rsidRPr="00B139EC">
        <w:t>.....................5</w:t>
      </w:r>
      <w:r w:rsidRPr="004C0A31">
        <w:t>    </w:t>
      </w:r>
    </w:p>
    <w:p w14:paraId="25BF000B" w14:textId="6AA4FBCC" w:rsidR="004C0A31" w:rsidRPr="00B139EC" w:rsidRDefault="004C0A31" w:rsidP="00B139EC">
      <w:pPr>
        <w:pStyle w:val="a8"/>
        <w:numPr>
          <w:ilvl w:val="0"/>
          <w:numId w:val="9"/>
        </w:numPr>
        <w:spacing w:line="360" w:lineRule="auto"/>
      </w:pPr>
      <w:r w:rsidRPr="004C0A31">
        <w:t>Методы изучения клетки .......................................................</w:t>
      </w:r>
      <w:r w:rsidR="00B139EC" w:rsidRPr="00B139EC">
        <w:t>..................8</w:t>
      </w:r>
      <w:r w:rsidRPr="004C0A31">
        <w:t>  </w:t>
      </w:r>
    </w:p>
    <w:p w14:paraId="2116713C" w14:textId="3DA0801F" w:rsidR="004C0A31" w:rsidRDefault="004C0A31" w:rsidP="00B139EC">
      <w:pPr>
        <w:pStyle w:val="a8"/>
        <w:numPr>
          <w:ilvl w:val="0"/>
          <w:numId w:val="9"/>
        </w:numPr>
        <w:spacing w:line="360" w:lineRule="auto"/>
      </w:pPr>
      <w:r w:rsidRPr="004C0A31">
        <w:t>Клеточная теория .................................................................</w:t>
      </w:r>
      <w:r w:rsidR="00B139EC">
        <w:t>.....................</w:t>
      </w:r>
      <w:r w:rsidRPr="004C0A31">
        <w:t>1</w:t>
      </w:r>
      <w:r w:rsidR="00B139EC">
        <w:t>0</w:t>
      </w:r>
      <w:r w:rsidRPr="004C0A31">
        <w:t>    </w:t>
      </w:r>
    </w:p>
    <w:p w14:paraId="7CBC1E26" w14:textId="2E5C6A7D" w:rsidR="004C0A31" w:rsidRPr="004C0A31" w:rsidRDefault="004C0A31" w:rsidP="00B139EC">
      <w:pPr>
        <w:pStyle w:val="a8"/>
        <w:spacing w:line="360" w:lineRule="auto"/>
        <w:ind w:left="360"/>
      </w:pPr>
      <w:r w:rsidRPr="004C0A31">
        <w:rPr>
          <w:b/>
          <w:bCs/>
        </w:rPr>
        <w:t>Заключение</w:t>
      </w:r>
      <w:r w:rsidRPr="004C0A31">
        <w:t xml:space="preserve"> ...........................................................................</w:t>
      </w:r>
      <w:r w:rsidR="00B139EC">
        <w:t>......................12</w:t>
      </w:r>
    </w:p>
    <w:p w14:paraId="55309AF2" w14:textId="68C72140" w:rsidR="004C0A31" w:rsidRPr="00B139EC" w:rsidRDefault="004C0A31" w:rsidP="00B139EC">
      <w:pPr>
        <w:pStyle w:val="a8"/>
        <w:spacing w:line="360" w:lineRule="auto"/>
        <w:ind w:left="360"/>
        <w:jc w:val="center"/>
      </w:pPr>
      <w:r w:rsidRPr="004C0A31">
        <w:rPr>
          <w:b/>
          <w:bCs/>
        </w:rPr>
        <w:t>Список</w:t>
      </w:r>
      <w:r w:rsidR="00B139EC">
        <w:rPr>
          <w:b/>
          <w:bCs/>
        </w:rPr>
        <w:t xml:space="preserve"> </w:t>
      </w:r>
      <w:r w:rsidRPr="004C0A31">
        <w:rPr>
          <w:b/>
          <w:bCs/>
        </w:rPr>
        <w:t>литературы</w:t>
      </w:r>
      <w:r w:rsidRPr="004C0A31">
        <w:t>...............................................................</w:t>
      </w:r>
      <w:r w:rsidR="00B139EC">
        <w:t>.....................13</w:t>
      </w:r>
      <w:r>
        <w:br w:type="page"/>
      </w:r>
      <w:r w:rsidRPr="004C0A31">
        <w:rPr>
          <w:b/>
          <w:bCs/>
        </w:rPr>
        <w:lastRenderedPageBreak/>
        <w:t>Введение</w:t>
      </w:r>
    </w:p>
    <w:p w14:paraId="4FDC53BC" w14:textId="5A05C931" w:rsidR="004C0A31" w:rsidRDefault="004C0A31" w:rsidP="00B139EC">
      <w:pPr>
        <w:pStyle w:val="a8"/>
        <w:spacing w:line="360" w:lineRule="auto"/>
        <w:ind w:firstLine="709"/>
        <w:jc w:val="both"/>
      </w:pPr>
      <w:r>
        <w:t>Клетка представляет собой фундаментальную структурно-функциональную единицу всех живых организмов, являясь основой биологической организации живой материи. Цитология как наука о клетке интегрирует достижения различных биологических дисциплин, позволяя раскрывать механизмы жизнедеятельности, эволюции и патогенеза на клеточном уровне. Тема доклада охватывает эволюцию научных представлений от первых микроскопических наблюдений XVII века до современных достижений геномики и нанотехнологий, подчеркивая значение клеточной теории как одной из ключевых парадигм биологической науки.</w:t>
      </w:r>
    </w:p>
    <w:p w14:paraId="5DCA7F3A" w14:textId="570C1F15" w:rsidR="004C0A31" w:rsidRDefault="004C0A31" w:rsidP="00B139EC">
      <w:pPr>
        <w:pStyle w:val="a8"/>
        <w:spacing w:line="360" w:lineRule="auto"/>
        <w:ind w:firstLine="708"/>
        <w:jc w:val="both"/>
      </w:pPr>
      <w:r>
        <w:t xml:space="preserve">Исторически изучение клетки было тесно связано с развитием оптических технологий и методологии исследований. Эмпирические открытия Роберта Гука и Антони ван Левенгука заложили основу для систематических наблюдений, которые в XIX веке были обобщены Маттиасом </w:t>
      </w:r>
      <w:proofErr w:type="spellStart"/>
      <w:r>
        <w:t>Шлейденом</w:t>
      </w:r>
      <w:proofErr w:type="spellEnd"/>
      <w:r>
        <w:t xml:space="preserve">, Теодором Шванном и Рудольфом </w:t>
      </w:r>
      <w:proofErr w:type="spellStart"/>
      <w:r>
        <w:t>Вирховым</w:t>
      </w:r>
      <w:proofErr w:type="spellEnd"/>
      <w:r>
        <w:t xml:space="preserve"> в виде клеточной теории. Эта теория, утверждающая универсальность клеточного строения и принцип непрерывности клеточного деления, стала методологической основой современной биологии, обеспечив единство представлений о структуре и функциях живых систем.</w:t>
      </w:r>
    </w:p>
    <w:p w14:paraId="008635F3" w14:textId="24028B7C" w:rsidR="004C0A31" w:rsidRDefault="004C0A31" w:rsidP="00B139EC">
      <w:pPr>
        <w:pStyle w:val="a8"/>
        <w:spacing w:line="360" w:lineRule="auto"/>
        <w:ind w:firstLine="709"/>
        <w:jc w:val="both"/>
      </w:pPr>
      <w:r>
        <w:t xml:space="preserve">В настоящем докладе будет осуществлен систематический анализ исторических этапов развития цитологии, современных методологических подходов и теоретических оснований клеточной теории с использованием </w:t>
      </w:r>
      <w:proofErr w:type="gramStart"/>
      <w:r>
        <w:t>первоисточников</w:t>
      </w:r>
      <w:proofErr w:type="gramEnd"/>
      <w:r>
        <w:t xml:space="preserve"> и актуальных научных интерпретаций. Такой подход позволит не только реконструировать эволюцию научных представлений о клетке, но и оценить их значение для решения ключевых проблем современной биологии, включая генную инженерию, регенеративную медицину и биотехнологии.</w:t>
      </w:r>
    </w:p>
    <w:p w14:paraId="3983A7F3" w14:textId="14E56B73" w:rsidR="002B5153" w:rsidRPr="002B5153" w:rsidRDefault="004C0A31" w:rsidP="00B139EC">
      <w:pPr>
        <w:pStyle w:val="a8"/>
        <w:spacing w:line="360" w:lineRule="auto"/>
        <w:ind w:firstLine="709"/>
        <w:jc w:val="both"/>
      </w:pPr>
      <w:r>
        <w:br w:type="page"/>
      </w:r>
      <w:r w:rsidR="002B5153" w:rsidRPr="002B5153">
        <w:rPr>
          <w:b/>
          <w:bCs/>
        </w:rPr>
        <w:lastRenderedPageBreak/>
        <w:t>Цел</w:t>
      </w:r>
      <w:r w:rsidR="002B5153">
        <w:rPr>
          <w:b/>
          <w:bCs/>
        </w:rPr>
        <w:t>ь</w:t>
      </w:r>
      <w:proofErr w:type="gramStart"/>
      <w:r w:rsidR="002B5153" w:rsidRPr="002B5153">
        <w:rPr>
          <w:b/>
          <w:bCs/>
        </w:rPr>
        <w:t>:</w:t>
      </w:r>
      <w:r w:rsidR="002B5153" w:rsidRPr="002B5153">
        <w:t xml:space="preserve"> Предоставить</w:t>
      </w:r>
      <w:proofErr w:type="gramEnd"/>
      <w:r w:rsidR="002B5153" w:rsidRPr="002B5153">
        <w:t xml:space="preserve"> анализ истории открытия и эволюции научных представлений о клетке как фундаментальной единице жизни, описать ключевые методы цитологических исследований, а также детально разобрать формирование, развитие и современные интерпретации клеточной теории. Настоящий доклад направлен на демонстрацию эволюции биологической науки от эмпирических наблюдений к теоретическим обобщениям, подчеркивая вклад выдающихся ученых и технологических инноваций. Это позволит осветить роль клетки в контексте биологических дисциплин, включая молекулярную биологию, генетику и медицину, способствуя глубокому пониманию единства живой природы и перспектив дальнейших исследований.</w:t>
      </w:r>
    </w:p>
    <w:p w14:paraId="0ACEF963" w14:textId="1D5D0715" w:rsidR="002B5153" w:rsidRPr="002B5153" w:rsidRDefault="002B5153" w:rsidP="00B139EC">
      <w:pPr>
        <w:pStyle w:val="a8"/>
        <w:spacing w:line="360" w:lineRule="auto"/>
        <w:ind w:firstLine="709"/>
        <w:jc w:val="both"/>
      </w:pPr>
      <w:r w:rsidRPr="002B5153">
        <w:rPr>
          <w:b/>
          <w:bCs/>
        </w:rPr>
        <w:t>Задачи:</w:t>
      </w:r>
    </w:p>
    <w:p w14:paraId="4141F1DA" w14:textId="77777777" w:rsidR="002B5153" w:rsidRPr="002B5153" w:rsidRDefault="002B5153" w:rsidP="00B139EC">
      <w:pPr>
        <w:pStyle w:val="a8"/>
        <w:numPr>
          <w:ilvl w:val="0"/>
          <w:numId w:val="11"/>
        </w:numPr>
        <w:spacing w:line="360" w:lineRule="auto"/>
        <w:jc w:val="both"/>
      </w:pPr>
      <w:r w:rsidRPr="002B5153">
        <w:t>Осветить хронологию исторического развития представлений о клетке, включая ключевые открытия, вклад ученых и влияние технических достижений на прогресс цитологии.</w:t>
      </w:r>
    </w:p>
    <w:p w14:paraId="19E81C74" w14:textId="77777777" w:rsidR="002B5153" w:rsidRPr="002B5153" w:rsidRDefault="002B5153" w:rsidP="00B139EC">
      <w:pPr>
        <w:pStyle w:val="a8"/>
        <w:numPr>
          <w:ilvl w:val="0"/>
          <w:numId w:val="11"/>
        </w:numPr>
        <w:spacing w:line="360" w:lineRule="auto"/>
        <w:jc w:val="both"/>
      </w:pPr>
      <w:r w:rsidRPr="002B5153">
        <w:t>Классифицировать и подробно описать методы изучения клетки, от классических оптических техник до современных молекулярно-генетических подходов, с анализом их преимуществ, ограничений и примеров применения.</w:t>
      </w:r>
    </w:p>
    <w:p w14:paraId="789842F6" w14:textId="77777777" w:rsidR="002B5153" w:rsidRPr="002B5153" w:rsidRDefault="002B5153" w:rsidP="00B139EC">
      <w:pPr>
        <w:pStyle w:val="a8"/>
        <w:numPr>
          <w:ilvl w:val="0"/>
          <w:numId w:val="11"/>
        </w:numPr>
        <w:spacing w:line="360" w:lineRule="auto"/>
        <w:jc w:val="both"/>
      </w:pPr>
      <w:r w:rsidRPr="002B5153">
        <w:t>Проанализировать генезис клеточной теории, её основные положения, исторические дополнения и значение для современной биологии, включая критику и интеграцию с другими теориями.</w:t>
      </w:r>
    </w:p>
    <w:p w14:paraId="044DD9BF" w14:textId="77777777" w:rsidR="002B5153" w:rsidRPr="002B5153" w:rsidRDefault="002B5153" w:rsidP="00B139EC">
      <w:pPr>
        <w:pStyle w:val="a8"/>
        <w:numPr>
          <w:ilvl w:val="0"/>
          <w:numId w:val="11"/>
        </w:numPr>
        <w:spacing w:line="360" w:lineRule="auto"/>
        <w:jc w:val="both"/>
      </w:pPr>
      <w:r w:rsidRPr="002B5153">
        <w:t>Выявить взаимосвязи между историческими этапами, методологическими инструментами и теоретическими конструкциями, иллюстрируя, как эмпирические данные способствуют формированию научных парадигм.</w:t>
      </w:r>
    </w:p>
    <w:p w14:paraId="5D019756" w14:textId="77777777" w:rsidR="002B5153" w:rsidRPr="002B5153" w:rsidRDefault="002B5153" w:rsidP="00B139EC">
      <w:pPr>
        <w:pStyle w:val="a8"/>
        <w:numPr>
          <w:ilvl w:val="0"/>
          <w:numId w:val="11"/>
        </w:numPr>
        <w:spacing w:line="360" w:lineRule="auto"/>
        <w:jc w:val="both"/>
      </w:pPr>
      <w:r w:rsidRPr="002B5153">
        <w:t>Рассмотреть практические приложения клеточной теории и методов в областях биотехнологий, медицины и эволюционной биологии.</w:t>
      </w:r>
    </w:p>
    <w:p w14:paraId="6C2A0B5B" w14:textId="21157099" w:rsidR="00722986" w:rsidRDefault="00722986" w:rsidP="00B139EC">
      <w:pPr>
        <w:pStyle w:val="a8"/>
        <w:spacing w:line="360" w:lineRule="auto"/>
        <w:ind w:firstLine="709"/>
        <w:jc w:val="both"/>
      </w:pPr>
    </w:p>
    <w:p w14:paraId="06F19E5D" w14:textId="77777777" w:rsidR="002B5153" w:rsidRDefault="002B5153" w:rsidP="00B139EC">
      <w:pPr>
        <w:pStyle w:val="a8"/>
        <w:spacing w:line="360" w:lineRule="auto"/>
        <w:ind w:firstLine="709"/>
        <w:jc w:val="both"/>
      </w:pPr>
    </w:p>
    <w:p w14:paraId="1D5457E8" w14:textId="160D8489" w:rsidR="002B5153" w:rsidRDefault="00ED32AD" w:rsidP="00B139EC">
      <w:pPr>
        <w:pStyle w:val="a8"/>
        <w:spacing w:line="360" w:lineRule="auto"/>
        <w:ind w:firstLine="709"/>
        <w:jc w:val="center"/>
        <w:rPr>
          <w:b/>
          <w:bCs/>
        </w:rPr>
      </w:pPr>
      <w:r>
        <w:rPr>
          <w:b/>
          <w:bCs/>
        </w:rPr>
        <w:lastRenderedPageBreak/>
        <w:t>История изучения клетки</w:t>
      </w:r>
    </w:p>
    <w:p w14:paraId="358BC650" w14:textId="63EBE4D4" w:rsidR="00ED32AD" w:rsidRPr="00ED32AD" w:rsidRDefault="00ED32AD" w:rsidP="00B139EC">
      <w:pPr>
        <w:pStyle w:val="a8"/>
        <w:spacing w:line="360" w:lineRule="auto"/>
        <w:ind w:firstLine="709"/>
        <w:jc w:val="both"/>
        <w:rPr>
          <w:lang w:val="en-US"/>
        </w:rPr>
      </w:pPr>
      <w:r w:rsidRPr="00ED32AD">
        <w:t xml:space="preserve">Развитие цитологии началось с изобретения микроскопа в конце XVI века. В 1590 году голландские </w:t>
      </w:r>
      <w:proofErr w:type="spellStart"/>
      <w:r w:rsidRPr="00ED32AD">
        <w:t>оптисты</w:t>
      </w:r>
      <w:proofErr w:type="spellEnd"/>
      <w:r w:rsidRPr="00ED32AD">
        <w:t xml:space="preserve"> Захарий и Ганс Янсены создали первый составной микроскоп, способный увеличивать объекты в десятки раз. Однако настоящий прорыв произошел в XVII веке благодаря работам Роберта Гука. В 1665 году Гук, изучая тонкий срез пробки под микроскопом собственного изготовления (увеличение около 30 раз), наблюдал множество мелких пустых отсеков, напоминающих соты. В своей фундаментальной работе "Микрография" он ввел термин "</w:t>
      </w:r>
      <w:proofErr w:type="spellStart"/>
      <w:r w:rsidRPr="00ED32AD">
        <w:t>cell</w:t>
      </w:r>
      <w:proofErr w:type="spellEnd"/>
      <w:r w:rsidRPr="00ED32AD">
        <w:t>" (клетка), описав эти структуры как базовые элементы растительной ткани. Важно отметить, что Гук наблюдал не живые клетки, а их целлюлозные стенки в мертвой ткани, что ограничило его интерпретацию. Тем не менее, это открытие стимулировало дальнейшие исследования микромира.</w:t>
      </w:r>
      <w:r w:rsidR="009518AF">
        <w:rPr>
          <w:lang w:val="en-US"/>
        </w:rPr>
        <w:t>[1]</w:t>
      </w:r>
    </w:p>
    <w:p w14:paraId="4E43AB20" w14:textId="77777777" w:rsidR="00ED32AD" w:rsidRP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>Параллельно с Гуком работал Антони ван Левенгук, который усовершенствовал микроскоп до 300-кратного увеличения. В период с 1670 по 1680-е годы он описал "</w:t>
      </w:r>
      <w:proofErr w:type="spellStart"/>
      <w:r w:rsidRPr="00ED32AD">
        <w:t>анималькулы</w:t>
      </w:r>
      <w:proofErr w:type="spellEnd"/>
      <w:r w:rsidRPr="00ED32AD">
        <w:t>" — микроскопические организмы в каплях воды, включая бактерии, инфузории, эритроциты и сперматозоиды. В 1683 году Левенгук впервые наблюдал бактерии в зубном налете, а также движение крови по капиллярам, подтвердив гипотезу Уильяма Гарвея о кровообращении. Его отчеты, публикуемые в Лондонском королевском обществе, заложили основы микробиологии, хотя и оставались преимущественно описательными из-за отсутствия теоретических обобщений.</w:t>
      </w:r>
    </w:p>
    <w:p w14:paraId="1508D015" w14:textId="77777777" w:rsid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 xml:space="preserve">В XVIII веке прогресс замедлился из-за оптических ограничений, но появились значимые наблюдения. Итальянский анатом Феликс Фонтана в 1778 году зарисовал клетки животных и их ядра, подчеркнув сходство с растительными структурами. Немецкие ботаники Генрих Линк и Иоганн </w:t>
      </w:r>
      <w:proofErr w:type="spellStart"/>
      <w:r w:rsidRPr="00ED32AD">
        <w:t>Молденхауэр</w:t>
      </w:r>
      <w:proofErr w:type="spellEnd"/>
      <w:r w:rsidRPr="00ED32AD">
        <w:t xml:space="preserve"> в 1807 году доказали независимость растительных клеток, показав наличие индивидуальных стенок. Эти работы подготовили почву для обобщений XIX века, преодолевая представления о "слиянии" тканей [3].</w:t>
      </w:r>
    </w:p>
    <w:p w14:paraId="6BC00FFE" w14:textId="77777777" w:rsidR="00ED32AD" w:rsidRPr="00ED32AD" w:rsidRDefault="00ED32AD" w:rsidP="00B139EC">
      <w:pPr>
        <w:pStyle w:val="a8"/>
        <w:spacing w:line="360" w:lineRule="auto"/>
        <w:ind w:firstLine="709"/>
        <w:jc w:val="both"/>
      </w:pPr>
      <w:r w:rsidRPr="00ED32AD">
        <w:lastRenderedPageBreak/>
        <w:t>XIX век ознаменовался накоплением данных, приведших к формулировке клеточной теории. В 1827 году русский эмбриолог Карл Бэр открыл яйцеклетку млекопитающих, продемонстрировав, что развитие многоклеточных организмов начинается из одной клетки, что подчеркнуло единство онтогенеза. В 1831 году английский ботаник Роберт Броун описал ядро как обязательный компонент растительной клетки, наблюдая его в орхидеях, и открыл броуновское движение — хаотичное перемещение частиц, позже объясненное кинетической теорией газов.</w:t>
      </w:r>
    </w:p>
    <w:p w14:paraId="42326A9A" w14:textId="0ED27C5A" w:rsidR="00ED32AD" w:rsidRP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 xml:space="preserve">Кульминацией стал вклад Маттиаса </w:t>
      </w:r>
      <w:proofErr w:type="spellStart"/>
      <w:r w:rsidRPr="00ED32AD">
        <w:t>Шлейдена</w:t>
      </w:r>
      <w:proofErr w:type="spellEnd"/>
      <w:r w:rsidRPr="00ED32AD">
        <w:t xml:space="preserve"> и Теодора Шванна. В 1838 году </w:t>
      </w:r>
      <w:proofErr w:type="spellStart"/>
      <w:r w:rsidRPr="00ED32AD">
        <w:t>Шлейден</w:t>
      </w:r>
      <w:proofErr w:type="spellEnd"/>
      <w:r w:rsidRPr="00ED32AD">
        <w:t xml:space="preserve">, анализируя растительные ткани, заключил, что все растения состоят из клеток, предлагая концепцию </w:t>
      </w:r>
      <w:proofErr w:type="spellStart"/>
      <w:r w:rsidRPr="00ED32AD">
        <w:t>гомологичности</w:t>
      </w:r>
      <w:proofErr w:type="spellEnd"/>
      <w:r w:rsidRPr="00ED32AD">
        <w:t>. В 1839 году Шванн распространил это на животные, сравнив хрящевые клетки с растительными и подчеркнув роль ядра. Их совместная работа "Микроскопические исследования о соответствии в структуре и росте животных и растений" стала основой клеточной теории.</w:t>
      </w:r>
      <w:r w:rsidR="005D1D94" w:rsidRPr="005D1D94">
        <w:t>[3]</w:t>
      </w:r>
    </w:p>
    <w:p w14:paraId="23305C01" w14:textId="77777777" w:rsidR="00ED32AD" w:rsidRP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>В 1858 году Рудольф Вирхов дополнил теорию принципом "</w:t>
      </w:r>
      <w:proofErr w:type="spellStart"/>
      <w:r w:rsidRPr="00ED32AD">
        <w:t>omnis</w:t>
      </w:r>
      <w:proofErr w:type="spellEnd"/>
      <w:r w:rsidRPr="00ED32AD">
        <w:t xml:space="preserve"> </w:t>
      </w:r>
      <w:proofErr w:type="spellStart"/>
      <w:r w:rsidRPr="00ED32AD">
        <w:t>cellula</w:t>
      </w:r>
      <w:proofErr w:type="spellEnd"/>
      <w:r w:rsidRPr="00ED32AD">
        <w:t xml:space="preserve"> e </w:t>
      </w:r>
      <w:proofErr w:type="spellStart"/>
      <w:r w:rsidRPr="00ED32AD">
        <w:t>cellula</w:t>
      </w:r>
      <w:proofErr w:type="spellEnd"/>
      <w:r w:rsidRPr="00ED32AD">
        <w:t>" (каждая клетка от клетки), опровергая самозарождение и применяя теорию к патологии: болезни возникают на клеточном уровне. Август Вейсман в 1880-х годах развил идеи о зародышевой плазме, связав клетки с механизмами наследственности.</w:t>
      </w:r>
    </w:p>
    <w:p w14:paraId="526AE90E" w14:textId="77777777" w:rsidR="00ED32AD" w:rsidRP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 xml:space="preserve">В XX веке изобретение электронного микроскопа Эрнстом Руской в 1930-х годах позволило визуализировать </w:t>
      </w:r>
      <w:proofErr w:type="spellStart"/>
      <w:r w:rsidRPr="00ED32AD">
        <w:t>ультраструкуру</w:t>
      </w:r>
      <w:proofErr w:type="spellEnd"/>
      <w:r w:rsidRPr="00ED32AD">
        <w:t xml:space="preserve"> клетки с разрешением до 0,1 нм, открыв митохондрии, эндоплазматический </w:t>
      </w:r>
      <w:proofErr w:type="spellStart"/>
      <w:r w:rsidRPr="00ED32AD">
        <w:t>ретикулум</w:t>
      </w:r>
      <w:proofErr w:type="spellEnd"/>
      <w:r w:rsidRPr="00ED32AD">
        <w:t xml:space="preserve"> и аппарат Гольджи. В 1953 году Джеймс Уотсон и Фрэнсис Крик описали двойную спираль ДНК, интегрируя цитологию с генетикой. Линн Маргулис в 1967 году предложила </w:t>
      </w:r>
      <w:proofErr w:type="spellStart"/>
      <w:r w:rsidRPr="00ED32AD">
        <w:t>эндосимбиотическую</w:t>
      </w:r>
      <w:proofErr w:type="spellEnd"/>
      <w:r w:rsidRPr="00ED32AD">
        <w:t xml:space="preserve"> теорию, объясняющую происхождение эукариотических органелл симбиозом прокариот.</w:t>
      </w:r>
    </w:p>
    <w:p w14:paraId="21D3B888" w14:textId="6C9AAC0A" w:rsid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 xml:space="preserve">Росс Харрисон в 1907 году ввел метод культивирования клеток, что стало основой для экспериментальной цитологии. В XXI веке технологии </w:t>
      </w:r>
      <w:r w:rsidRPr="00ED32AD">
        <w:lastRenderedPageBreak/>
        <w:t xml:space="preserve">CRISPR-Cas9 позволяют редактировать геном, а </w:t>
      </w:r>
      <w:r w:rsidR="00016E42" w:rsidRPr="00016E42">
        <w:t>секвенирование отдельных клеток</w:t>
      </w:r>
      <w:r w:rsidR="00016E42" w:rsidRPr="00016E42">
        <w:t xml:space="preserve"> </w:t>
      </w:r>
      <w:r w:rsidRPr="00ED32AD">
        <w:t>анализирует индивидуальные клетки. Исследования индуцированных плюрипотентных стволовых клеток открывают перспективы регенеративной медицины [4].</w:t>
      </w:r>
      <w:r>
        <w:t xml:space="preserve"> </w:t>
      </w:r>
    </w:p>
    <w:p w14:paraId="1E594CDF" w14:textId="514A19A2" w:rsidR="00ED32AD" w:rsidRPr="00ED32AD" w:rsidRDefault="00ED32AD" w:rsidP="00B139EC">
      <w:pPr>
        <w:pStyle w:val="a8"/>
        <w:spacing w:line="360" w:lineRule="auto"/>
        <w:ind w:firstLine="709"/>
        <w:jc w:val="center"/>
        <w:rPr>
          <w:b/>
          <w:bCs/>
        </w:rPr>
      </w:pPr>
      <w:r>
        <w:br w:type="page"/>
      </w:r>
      <w:r w:rsidRPr="00ED32AD">
        <w:rPr>
          <w:b/>
          <w:bCs/>
        </w:rPr>
        <w:lastRenderedPageBreak/>
        <w:t>Методы изучения клетки</w:t>
      </w:r>
    </w:p>
    <w:p w14:paraId="7E3A11F3" w14:textId="77777777" w:rsidR="00ED32AD" w:rsidRP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>Методы цитологии эволюционировали от визуальных наблюдений к интегративным подходам, сочетающим оптику, биохимию и информатику. Они классифицируются на микроскопические, биохимические и молекулярные, с учетом их применения в фундаментальных и прикладных исследованиях.</w:t>
      </w:r>
    </w:p>
    <w:p w14:paraId="7FF00B47" w14:textId="3E2F83A9" w:rsidR="00ED32AD" w:rsidRP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>Световая микроскопия, как базовый метод, обеспечивает увеличение до 1500 раз и изучение крупных компонентов клетки (ядро, цитоплазма). Фазово-контрастная микроскопия позволяет наблюдать живые клетки без окрашивания, повышая контраст за счет фазовых сдвигов света. Флуоресцентная микроскопия использует флуоресцентные маркеры, такие как зеленый флуоресцентный белок (GFP), для локализации белков и динамических процессов.</w:t>
      </w:r>
      <w:r w:rsidR="005D1D94" w:rsidRPr="005D1D94">
        <w:t>[2]</w:t>
      </w:r>
    </w:p>
    <w:p w14:paraId="36ED95E2" w14:textId="77777777" w:rsidR="00ED32AD" w:rsidRP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 xml:space="preserve">Электронная микроскопия революционизировала цитологию: трансмиссионная (ТЕМ) раскрывает внутреннюю </w:t>
      </w:r>
      <w:proofErr w:type="spellStart"/>
      <w:r w:rsidRPr="00ED32AD">
        <w:t>ультраструкуру</w:t>
      </w:r>
      <w:proofErr w:type="spellEnd"/>
      <w:r w:rsidRPr="00ED32AD">
        <w:t>, сканирующая (СЕМ) — поверхность клетки. Разрешение достигает 0,1 нм, но метод требует фиксации образцов и вакуума, что исключает изучение живых объектов.</w:t>
      </w:r>
    </w:p>
    <w:p w14:paraId="539BD8F1" w14:textId="0A560B7F" w:rsidR="00ED32AD" w:rsidRDefault="00ED32AD" w:rsidP="00B139EC">
      <w:pPr>
        <w:pStyle w:val="a8"/>
        <w:spacing w:line="360" w:lineRule="auto"/>
        <w:ind w:firstLine="709"/>
        <w:jc w:val="both"/>
      </w:pPr>
      <w:r w:rsidRPr="00ED32AD">
        <w:t xml:space="preserve">Конфокальная лазерная сканирующая микроскопия генерирует трехмерные изображения, </w:t>
      </w:r>
      <w:proofErr w:type="spellStart"/>
      <w:r>
        <w:t>элимини</w:t>
      </w:r>
      <w:r w:rsidRPr="00ED32AD">
        <w:t>ируя</w:t>
      </w:r>
      <w:proofErr w:type="spellEnd"/>
      <w:r w:rsidRPr="00ED32AD">
        <w:t xml:space="preserve"> рассеянный свет, а </w:t>
      </w:r>
      <w:proofErr w:type="spellStart"/>
      <w:r w:rsidRPr="00ED32AD">
        <w:t>суперразрешающие</w:t>
      </w:r>
      <w:proofErr w:type="spellEnd"/>
      <w:r w:rsidRPr="00ED32AD">
        <w:t xml:space="preserve"> техники (например, STED) преодолевают дифракционный предел Аббе. Эти методы незаменимы для </w:t>
      </w:r>
      <w:r>
        <w:t xml:space="preserve">внутриклеточного </w:t>
      </w:r>
      <w:r w:rsidRPr="00ED32AD">
        <w:t>анализа клеточных взаимодействий.</w:t>
      </w:r>
    </w:p>
    <w:p w14:paraId="70091637" w14:textId="57B3C78A" w:rsidR="00016E42" w:rsidRPr="00016E42" w:rsidRDefault="00016E42" w:rsidP="00B139EC">
      <w:pPr>
        <w:pStyle w:val="a8"/>
        <w:spacing w:line="360" w:lineRule="auto"/>
        <w:ind w:firstLine="709"/>
        <w:jc w:val="both"/>
      </w:pPr>
      <w:r w:rsidRPr="00016E42">
        <w:t>Дифференциальное центрифугирование разделяет клеточные компоненты по плотности и размеру, позволяя изолировать органеллы для биохимического анализа</w:t>
      </w:r>
      <w:r>
        <w:t xml:space="preserve">. </w:t>
      </w:r>
      <w:r w:rsidRPr="00016E42">
        <w:t>Авторадиография отслеживает метаболические пути с помощью радиоактивных изотопов, таких как ³H-тимидин для репликации ДНК.</w:t>
      </w:r>
    </w:p>
    <w:p w14:paraId="27A625B5" w14:textId="77777777" w:rsidR="00016E42" w:rsidRPr="00016E42" w:rsidRDefault="00016E42" w:rsidP="00B139EC">
      <w:pPr>
        <w:pStyle w:val="a8"/>
        <w:spacing w:line="360" w:lineRule="auto"/>
        <w:ind w:firstLine="709"/>
        <w:jc w:val="both"/>
      </w:pPr>
      <w:r w:rsidRPr="00016E42">
        <w:t xml:space="preserve">Хроматографические техники (газовая, жидкостная) и </w:t>
      </w:r>
      <w:proofErr w:type="spellStart"/>
      <w:r w:rsidRPr="00016E42">
        <w:t>спектрофотометрия</w:t>
      </w:r>
      <w:proofErr w:type="spellEnd"/>
      <w:r w:rsidRPr="00016E42">
        <w:t xml:space="preserve"> определяют химический состав, а рентгеноструктурный </w:t>
      </w:r>
      <w:r w:rsidRPr="00016E42">
        <w:lastRenderedPageBreak/>
        <w:t xml:space="preserve">анализ (кристаллография) раскрывает молекулярные структуры, как в случае ДНК (вклад Розалинд Франклин). Цитохимия и </w:t>
      </w:r>
      <w:proofErr w:type="spellStart"/>
      <w:r w:rsidRPr="00016E42">
        <w:t>гистохимия</w:t>
      </w:r>
      <w:proofErr w:type="spellEnd"/>
      <w:r w:rsidRPr="00016E42">
        <w:t xml:space="preserve"> локализуют вещества с помощью специфических реактивов [5].</w:t>
      </w:r>
    </w:p>
    <w:p w14:paraId="2C014F9F" w14:textId="67873025" w:rsidR="00016E42" w:rsidRPr="00016E42" w:rsidRDefault="00016E42" w:rsidP="00B139EC">
      <w:pPr>
        <w:pStyle w:val="a8"/>
        <w:spacing w:line="360" w:lineRule="auto"/>
        <w:ind w:firstLine="709"/>
        <w:jc w:val="both"/>
      </w:pPr>
      <w:r w:rsidRPr="00016E42">
        <w:t>Молекулярные методы включают полимеразную цепную реакцию для амплификации ДНК и секвенирование генома. Флоу-</w:t>
      </w:r>
      <w:proofErr w:type="spellStart"/>
      <w:r w:rsidRPr="00016E42">
        <w:t>цитометрия</w:t>
      </w:r>
      <w:proofErr w:type="spellEnd"/>
      <w:r w:rsidRPr="00016E42">
        <w:t xml:space="preserve"> анализирует тысячи клеток по физическим и химическим параметрам, а CRISPR-Cas9 обеспечивает генное редактирование для функциональной геномики. Культивирование клеток позволяет моделировать процессы роста и дифференцировки.</w:t>
      </w:r>
    </w:p>
    <w:p w14:paraId="5B068D94" w14:textId="2F9E79A3" w:rsidR="00016E42" w:rsidRDefault="00016E42" w:rsidP="00B139EC">
      <w:pPr>
        <w:pStyle w:val="a8"/>
        <w:spacing w:line="360" w:lineRule="auto"/>
        <w:ind w:firstLine="709"/>
        <w:jc w:val="both"/>
      </w:pPr>
      <w:r w:rsidRPr="00016E42">
        <w:t xml:space="preserve">Интегративные подходы, такие как </w:t>
      </w:r>
      <w:proofErr w:type="spellStart"/>
      <w:r w:rsidRPr="00016E42">
        <w:t>транскриптомика</w:t>
      </w:r>
      <w:proofErr w:type="spellEnd"/>
      <w:r w:rsidRPr="00016E42">
        <w:t xml:space="preserve"> и протеомика, сочетают данные для системного анализа. Перспективы включают использование искусственного интеллекта для обработки изображений и </w:t>
      </w:r>
      <w:proofErr w:type="gramStart"/>
      <w:r w:rsidRPr="00016E42">
        <w:t>крио-электронную</w:t>
      </w:r>
      <w:proofErr w:type="gramEnd"/>
      <w:r w:rsidRPr="00016E42">
        <w:t xml:space="preserve"> микроскопию для нативных структур.</w:t>
      </w:r>
    </w:p>
    <w:p w14:paraId="25E26D11" w14:textId="77777777" w:rsidR="00016E42" w:rsidRDefault="00016E42" w:rsidP="00B139EC">
      <w:pPr>
        <w:pStyle w:val="a8"/>
        <w:spacing w:line="360" w:lineRule="auto"/>
        <w:ind w:firstLine="709"/>
        <w:jc w:val="center"/>
        <w:rPr>
          <w:b/>
          <w:bCs/>
        </w:rPr>
      </w:pPr>
      <w:r>
        <w:br w:type="page"/>
      </w:r>
      <w:r w:rsidRPr="00016E42">
        <w:rPr>
          <w:b/>
          <w:bCs/>
        </w:rPr>
        <w:lastRenderedPageBreak/>
        <w:t>Клеточная теория</w:t>
      </w:r>
    </w:p>
    <w:p w14:paraId="00BE96E9" w14:textId="77777777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>Клеточная теория представляет собой фундаментальное обобщение биологии, утверждающее универсальность клетки как элементарной единицы жизни. Ее классическая формулировка включает три основных постулата: все живые организмы состоят из одной или множества клеток; клетка является наименьшей структурно-функциональной единицей жизни; новые клетки возникают только путем деления уже существующих клеток.</w:t>
      </w:r>
    </w:p>
    <w:p w14:paraId="2AB011B5" w14:textId="00C46A45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 xml:space="preserve">Современная интерпретация клеточной теории значительно расширена и рассматривает клетку как автономную открытую систему, способную к самоподдержанию, воспроизведению и обмену веществом и энергией с окружающей средой. Клетки всех организмов обладают фундаментальным сходством в химическом составе и принципах организации: ДНК выступает носителем генетической информации, белки выполняют ключевые структурные и ферментативные функции, а липидные мембраны обеспечивают </w:t>
      </w:r>
      <w:proofErr w:type="spellStart"/>
      <w:r w:rsidRPr="005D1D94">
        <w:t>компартментализацию</w:t>
      </w:r>
      <w:proofErr w:type="spellEnd"/>
      <w:r w:rsidRPr="005D1D94">
        <w:t xml:space="preserve"> и регуляцию обменных процессов. Возникновение новых клеток происходит исключительно через деление — митоз, мейоз или амитоз, — что обеспечивает генетическую преемственность поколений. В многоклеточных организмах клетки подвергаются дифференцировке, образуя специализированные ткани и органы, сохраняя при этом генетическую идентичность. Эволюционное разнообразие клеточных форм объясняется длительными историческими процессами, включая </w:t>
      </w:r>
      <w:proofErr w:type="spellStart"/>
      <w:r w:rsidRPr="005D1D94">
        <w:t>симбиогенез</w:t>
      </w:r>
      <w:proofErr w:type="spellEnd"/>
      <w:r w:rsidRPr="005D1D94">
        <w:t xml:space="preserve">, лежащий в основе </w:t>
      </w:r>
      <w:proofErr w:type="spellStart"/>
      <w:r w:rsidRPr="005D1D94">
        <w:t>эндосимбиотического</w:t>
      </w:r>
      <w:proofErr w:type="spellEnd"/>
      <w:r w:rsidRPr="005D1D94">
        <w:t xml:space="preserve"> происхождения митохондрий и хлоропластов.</w:t>
      </w:r>
      <w:r w:rsidR="009518AF" w:rsidRPr="009518AF">
        <w:t>[1]</w:t>
      </w:r>
    </w:p>
    <w:p w14:paraId="3FA414E9" w14:textId="77777777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 xml:space="preserve">Научное значение клеточной теории заключается в ее способности объединять различные дисциплины биологии — цитологию, гистологию, физиологию, генетику и эволюционную биологию — формируя методологическую основу естествознания. Она также служит фундаментом патологической анатомии и физиологии, поскольку многие заболевания представляют собой нарушения нормального роста, функционирования или дифференцировки клеток, что особенно заметно в онкологии и </w:t>
      </w:r>
      <w:r w:rsidRPr="005D1D94">
        <w:lastRenderedPageBreak/>
        <w:t>иммунопатологии. Кроме того, клеточная теория обеспечивает методологическую базу для современных биотехнологий и экспериментальной биологии.</w:t>
      </w:r>
    </w:p>
    <w:p w14:paraId="14C310EA" w14:textId="5BDB6CB8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>Практическое значение клеточной теории проявляется в медицине (цитологическая диагностика, онкология, трансплантология), биотехнологии (культивирование клеток, производство рекомбинантных белков), генетике (генная терапия, технологии CRISPR), а также в регенеративной медицине, где используются стволовые клетки и методы тканевой инженерии.</w:t>
      </w:r>
      <w:r w:rsidR="009518AF" w:rsidRPr="009518AF">
        <w:t>[4]</w:t>
      </w:r>
    </w:p>
    <w:p w14:paraId="1A6CB022" w14:textId="77777777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 xml:space="preserve">Современные дополнения и критика клеточной теории связаны с рядом концептуальных вызовов. Неклеточные формы жизни, такие как вирусы и прионы, не соответствуют классическому определению клетки, но оказывают значительное влияние на биологические системы. </w:t>
      </w:r>
      <w:proofErr w:type="spellStart"/>
      <w:r w:rsidRPr="005D1D94">
        <w:t>Суперорганизменные</w:t>
      </w:r>
      <w:proofErr w:type="spellEnd"/>
      <w:r w:rsidRPr="005D1D94">
        <w:t xml:space="preserve"> структуры, например муравьиные колонии, демонстрируют свойства, выходящие за рамки индивидуальной клетки. Исследования </w:t>
      </w:r>
      <w:proofErr w:type="spellStart"/>
      <w:r w:rsidRPr="005D1D94">
        <w:t>микробиома</w:t>
      </w:r>
      <w:proofErr w:type="spellEnd"/>
      <w:r w:rsidRPr="005D1D94">
        <w:t xml:space="preserve"> показывают, что функционирование многоклеточных организмов невозможно без симбиотических микробных сообществ. Эпигенетические механизмы указывают на существенную роль внешних факторов в регуляции генной активности, расширяя представления о клеточной автономии.</w:t>
      </w:r>
    </w:p>
    <w:p w14:paraId="56ADDAFF" w14:textId="77777777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 xml:space="preserve">Перспективы развития клеточной теории связаны с интеграцией с системной биологией и </w:t>
      </w:r>
      <w:proofErr w:type="spellStart"/>
      <w:r w:rsidRPr="005D1D94">
        <w:t>омными</w:t>
      </w:r>
      <w:proofErr w:type="spellEnd"/>
      <w:r w:rsidRPr="005D1D94">
        <w:t xml:space="preserve"> технологиями, развитием концепции «клеточного государства», изучением межклеточных коммуникаций, включая роль </w:t>
      </w:r>
      <w:proofErr w:type="spellStart"/>
      <w:r w:rsidRPr="005D1D94">
        <w:t>экзосом</w:t>
      </w:r>
      <w:proofErr w:type="spellEnd"/>
      <w:r w:rsidRPr="005D1D94">
        <w:t xml:space="preserve"> и внеклеточных везикул, а также созданием синтетических клеток и элементов искусственной жизни. Клеточная теория продолжает эволюционировать, адаптируясь к новым экспериментальным данным и технологическим достижениям, оставаясь одной из центральных парадигм биологической науки.</w:t>
      </w:r>
    </w:p>
    <w:p w14:paraId="189E7EEC" w14:textId="2903EB3B" w:rsidR="00ED32AD" w:rsidRDefault="005D1D94" w:rsidP="00B139EC">
      <w:pPr>
        <w:pStyle w:val="a8"/>
        <w:spacing w:line="360" w:lineRule="auto"/>
        <w:ind w:firstLine="708"/>
        <w:jc w:val="center"/>
        <w:rPr>
          <w:b/>
          <w:bCs/>
        </w:rPr>
      </w:pPr>
      <w:r>
        <w:br w:type="page"/>
      </w:r>
      <w:r>
        <w:rPr>
          <w:b/>
          <w:bCs/>
        </w:rPr>
        <w:lastRenderedPageBreak/>
        <w:t>Заключение</w:t>
      </w:r>
    </w:p>
    <w:p w14:paraId="0ED65BC2" w14:textId="77777777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>История изучения клетки демонстрирует триумф научного метода: от первых микроскопических наблюдений Роберта Гука и Антони ван Левенгука к современным технологиям геномики и нанотехнологий. Развитие методов цитологии позволило проникнуть в молекулярные основы жизни, раскрывая механизмы клеточных процессов на всех уровнях организации.</w:t>
      </w:r>
    </w:p>
    <w:p w14:paraId="508ADCBF" w14:textId="77777777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 xml:space="preserve">Клеточная теория, сформулированная в XIX веке Маттиасом </w:t>
      </w:r>
      <w:proofErr w:type="spellStart"/>
      <w:r w:rsidRPr="005D1D94">
        <w:t>Шлейденом</w:t>
      </w:r>
      <w:proofErr w:type="spellEnd"/>
      <w:r w:rsidRPr="005D1D94">
        <w:t xml:space="preserve">, Теодором Шванном и Рудольфом </w:t>
      </w:r>
      <w:proofErr w:type="spellStart"/>
      <w:r w:rsidRPr="005D1D94">
        <w:t>Вирховым</w:t>
      </w:r>
      <w:proofErr w:type="spellEnd"/>
      <w:r w:rsidRPr="005D1D94">
        <w:t>, остается фундаментальной парадигмой биологии. Ее положения подтверждены современными исследованиями и лежат в основе генетики, медицины и биотехнологий.</w:t>
      </w:r>
    </w:p>
    <w:p w14:paraId="7A4358DC" w14:textId="348D505F" w:rsidR="005D1D94" w:rsidRP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 xml:space="preserve">Практическое значение клеточных исследований проявляется в онкологии, регенеративной медицине, генной терапии и создании биотехнологических препаратов. Перспективы развития включают </w:t>
      </w:r>
      <w:proofErr w:type="gramStart"/>
      <w:r w:rsidRPr="005D1D94">
        <w:t>крио-электронную</w:t>
      </w:r>
      <w:proofErr w:type="gramEnd"/>
      <w:r w:rsidRPr="005D1D94">
        <w:t xml:space="preserve"> микроскопию и интеграцию с искусственным интеллектом.</w:t>
      </w:r>
    </w:p>
    <w:p w14:paraId="04B4E916" w14:textId="77777777" w:rsidR="005D1D94" w:rsidRDefault="005D1D94" w:rsidP="00B139EC">
      <w:pPr>
        <w:pStyle w:val="a8"/>
        <w:spacing w:line="360" w:lineRule="auto"/>
        <w:ind w:firstLine="708"/>
        <w:jc w:val="both"/>
      </w:pPr>
      <w:r w:rsidRPr="005D1D94">
        <w:t>Изучение клетки продолжает определять основные направления биологической науки, подтверждая единство и разнообразие живой природы, а также открывая новые возможности для решения актуальных проблем медицины и экологии.</w:t>
      </w:r>
    </w:p>
    <w:p w14:paraId="19A0E58D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408207DD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28EEB5CB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4F0FA6B5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64CF28DC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3A19DBF3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62E05C0A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7C3D7201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5732BC3C" w14:textId="77777777" w:rsidR="009518AF" w:rsidRDefault="009518AF" w:rsidP="00B139EC">
      <w:pPr>
        <w:pStyle w:val="a8"/>
        <w:spacing w:line="360" w:lineRule="auto"/>
        <w:ind w:firstLine="708"/>
        <w:jc w:val="both"/>
      </w:pPr>
    </w:p>
    <w:p w14:paraId="45FD57FF" w14:textId="77777777" w:rsidR="00B139EC" w:rsidRDefault="00B139EC" w:rsidP="00B139EC">
      <w:pPr>
        <w:pStyle w:val="a8"/>
        <w:spacing w:line="360" w:lineRule="auto"/>
        <w:ind w:firstLine="708"/>
        <w:jc w:val="both"/>
      </w:pPr>
    </w:p>
    <w:p w14:paraId="630CAE71" w14:textId="265454BB" w:rsidR="009518AF" w:rsidRPr="006D4F3E" w:rsidRDefault="009518AF" w:rsidP="00B139EC">
      <w:pPr>
        <w:pStyle w:val="a8"/>
        <w:spacing w:line="360" w:lineRule="auto"/>
        <w:ind w:firstLine="708"/>
        <w:jc w:val="center"/>
        <w:rPr>
          <w:b/>
          <w:bCs/>
        </w:rPr>
      </w:pPr>
      <w:r w:rsidRPr="006D4F3E">
        <w:rPr>
          <w:b/>
          <w:bCs/>
        </w:rPr>
        <w:lastRenderedPageBreak/>
        <w:t>Список литературы</w:t>
      </w:r>
    </w:p>
    <w:p w14:paraId="0BA30ACB" w14:textId="735BC03C" w:rsidR="009518AF" w:rsidRDefault="009518AF" w:rsidP="00B139EC">
      <w:pPr>
        <w:pStyle w:val="a8"/>
        <w:spacing w:line="360" w:lineRule="auto"/>
        <w:ind w:firstLine="708"/>
      </w:pPr>
      <w:r>
        <w:t xml:space="preserve">1. </w:t>
      </w:r>
      <w:r w:rsidRPr="009518AF">
        <w:t>https://oblakoz.ru/conspect/529660/Istoriya-i-metody-izucheniya-kletok-Kletochnaya-teoriya</w:t>
      </w:r>
    </w:p>
    <w:p w14:paraId="302AF354" w14:textId="71BB65AC" w:rsidR="009518AF" w:rsidRDefault="009518AF" w:rsidP="00B139EC">
      <w:pPr>
        <w:pStyle w:val="a8"/>
        <w:spacing w:line="360" w:lineRule="auto"/>
        <w:ind w:firstLine="708"/>
      </w:pPr>
      <w:r>
        <w:t xml:space="preserve">2. </w:t>
      </w:r>
      <w:r w:rsidRPr="009518AF">
        <w:t>https://www.infobraz.ru/library/biology/id20718</w:t>
      </w:r>
    </w:p>
    <w:p w14:paraId="5140368C" w14:textId="61475602" w:rsidR="009518AF" w:rsidRDefault="009518AF" w:rsidP="00B139EC">
      <w:pPr>
        <w:pStyle w:val="a8"/>
        <w:spacing w:line="360" w:lineRule="auto"/>
        <w:ind w:firstLine="708"/>
      </w:pPr>
      <w:r>
        <w:t xml:space="preserve">3. </w:t>
      </w:r>
      <w:r w:rsidRPr="009518AF">
        <w:t>https://xn----7sbabhraa7bdcdj5bzb8h.xn--p1ai/2011-05-19-07-09-00-64/2012-06-09-06-13-37/41-2011-05-19-07-06-491/93-2011-05-19-07-04-35</w:t>
      </w:r>
    </w:p>
    <w:p w14:paraId="393D994E" w14:textId="46C779FD" w:rsidR="009518AF" w:rsidRDefault="009518AF" w:rsidP="00B139EC">
      <w:pPr>
        <w:pStyle w:val="a8"/>
        <w:spacing w:line="360" w:lineRule="auto"/>
        <w:ind w:firstLine="708"/>
      </w:pPr>
      <w:r>
        <w:t xml:space="preserve">4. </w:t>
      </w:r>
      <w:r w:rsidRPr="009518AF">
        <w:t>https://nsportal.ru/shkola/biologiya/library/2012/09/20/urok-istoriya-izucheniya-kletki-kletochnaya-teoriya</w:t>
      </w:r>
    </w:p>
    <w:p w14:paraId="2BFE223B" w14:textId="3D53BAAC" w:rsidR="009518AF" w:rsidRPr="005D1D94" w:rsidRDefault="009518AF" w:rsidP="00B139EC">
      <w:pPr>
        <w:pStyle w:val="a8"/>
        <w:spacing w:line="360" w:lineRule="auto"/>
        <w:ind w:firstLine="708"/>
        <w:rPr>
          <w:lang w:val="en-US"/>
        </w:rPr>
      </w:pPr>
      <w:r w:rsidRPr="009518AF">
        <w:rPr>
          <w:lang w:val="en-US"/>
        </w:rPr>
        <w:t>5.</w:t>
      </w:r>
      <w:r w:rsidRPr="009518AF">
        <w:rPr>
          <w:lang w:val="en-US"/>
        </w:rPr>
        <w:t>https://znanierussia.ru/articles/%D0%9A%D0%BB%</w:t>
      </w:r>
      <w:r w:rsidRPr="009518AF">
        <w:rPr>
          <w:lang w:val="en-US"/>
        </w:rPr>
        <w:t xml:space="preserve"> </w:t>
      </w:r>
      <w:r w:rsidRPr="009518AF">
        <w:rPr>
          <w:lang w:val="en-US"/>
        </w:rPr>
        <w:t>B5%D1%82%D0%BA%D0%B0?ysclid=mihyatwttt589196592</w:t>
      </w:r>
    </w:p>
    <w:p w14:paraId="168F2D97" w14:textId="77777777" w:rsidR="005D1D94" w:rsidRPr="00ED32AD" w:rsidRDefault="005D1D94" w:rsidP="00B139EC">
      <w:pPr>
        <w:pStyle w:val="a8"/>
        <w:spacing w:line="360" w:lineRule="auto"/>
        <w:ind w:firstLine="708"/>
        <w:jc w:val="both"/>
        <w:rPr>
          <w:lang w:val="en-US"/>
        </w:rPr>
      </w:pPr>
    </w:p>
    <w:p w14:paraId="2EE3D411" w14:textId="77777777" w:rsidR="00ED32AD" w:rsidRPr="009518AF" w:rsidRDefault="00ED32AD" w:rsidP="00B139EC">
      <w:pPr>
        <w:pStyle w:val="a8"/>
        <w:spacing w:line="360" w:lineRule="auto"/>
        <w:ind w:firstLine="709"/>
        <w:jc w:val="both"/>
        <w:rPr>
          <w:lang w:val="en-US"/>
        </w:rPr>
      </w:pPr>
    </w:p>
    <w:sectPr w:rsidR="00ED32AD" w:rsidRPr="009518AF" w:rsidSect="002B5153">
      <w:footerReference w:type="default" r:id="rId8"/>
      <w:pgSz w:w="11906" w:h="16838"/>
      <w:pgMar w:top="1134" w:right="851" w:bottom="1134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E72B1" w14:textId="77777777" w:rsidR="002B74D8" w:rsidRDefault="002B74D8" w:rsidP="000E350C">
      <w:r>
        <w:separator/>
      </w:r>
    </w:p>
  </w:endnote>
  <w:endnote w:type="continuationSeparator" w:id="0">
    <w:p w14:paraId="3F03E149" w14:textId="77777777" w:rsidR="002B74D8" w:rsidRDefault="002B74D8" w:rsidP="000E3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AE477" w14:textId="77777777" w:rsidR="00F217EA" w:rsidRDefault="00F217EA" w:rsidP="0042045D">
    <w:pPr>
      <w:pStyle w:val="a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6144D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36C10" w14:textId="77777777" w:rsidR="002B74D8" w:rsidRDefault="002B74D8" w:rsidP="000E350C">
      <w:r>
        <w:separator/>
      </w:r>
    </w:p>
  </w:footnote>
  <w:footnote w:type="continuationSeparator" w:id="0">
    <w:p w14:paraId="17B079E5" w14:textId="77777777" w:rsidR="002B74D8" w:rsidRDefault="002B74D8" w:rsidP="000E3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7CB4"/>
    <w:multiLevelType w:val="multilevel"/>
    <w:tmpl w:val="D7E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D4C06"/>
    <w:multiLevelType w:val="multilevel"/>
    <w:tmpl w:val="E230F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EC352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7B14A9"/>
    <w:multiLevelType w:val="multilevel"/>
    <w:tmpl w:val="8C92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D139A"/>
    <w:multiLevelType w:val="multilevel"/>
    <w:tmpl w:val="37C6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1137B"/>
    <w:multiLevelType w:val="multilevel"/>
    <w:tmpl w:val="0C3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E0FB1"/>
    <w:multiLevelType w:val="hybridMultilevel"/>
    <w:tmpl w:val="75B8ABF8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520A35"/>
    <w:multiLevelType w:val="multilevel"/>
    <w:tmpl w:val="AA70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B0237"/>
    <w:multiLevelType w:val="hybridMultilevel"/>
    <w:tmpl w:val="5140548E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AF6296"/>
    <w:multiLevelType w:val="multilevel"/>
    <w:tmpl w:val="BEA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B0F81"/>
    <w:multiLevelType w:val="multilevel"/>
    <w:tmpl w:val="F47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910688">
    <w:abstractNumId w:val="4"/>
  </w:num>
  <w:num w:numId="2" w16cid:durableId="1862431814">
    <w:abstractNumId w:val="5"/>
  </w:num>
  <w:num w:numId="3" w16cid:durableId="1177648410">
    <w:abstractNumId w:val="7"/>
  </w:num>
  <w:num w:numId="4" w16cid:durableId="1847206794">
    <w:abstractNumId w:val="6"/>
  </w:num>
  <w:num w:numId="5" w16cid:durableId="1577671729">
    <w:abstractNumId w:val="10"/>
  </w:num>
  <w:num w:numId="6" w16cid:durableId="1611007736">
    <w:abstractNumId w:val="9"/>
  </w:num>
  <w:num w:numId="7" w16cid:durableId="46670665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284120719">
    <w:abstractNumId w:val="8"/>
  </w:num>
  <w:num w:numId="9" w16cid:durableId="2050178395">
    <w:abstractNumId w:val="2"/>
  </w:num>
  <w:num w:numId="10" w16cid:durableId="60569916">
    <w:abstractNumId w:val="1"/>
  </w:num>
  <w:num w:numId="11" w16cid:durableId="221067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25E"/>
    <w:rsid w:val="00016E42"/>
    <w:rsid w:val="00026C8A"/>
    <w:rsid w:val="000E350C"/>
    <w:rsid w:val="0016144D"/>
    <w:rsid w:val="002A325D"/>
    <w:rsid w:val="002B5153"/>
    <w:rsid w:val="002B74D8"/>
    <w:rsid w:val="00322130"/>
    <w:rsid w:val="00377CB3"/>
    <w:rsid w:val="00397775"/>
    <w:rsid w:val="0042045D"/>
    <w:rsid w:val="0042755E"/>
    <w:rsid w:val="004735AC"/>
    <w:rsid w:val="004C0A31"/>
    <w:rsid w:val="005D1D94"/>
    <w:rsid w:val="005F504F"/>
    <w:rsid w:val="006149A6"/>
    <w:rsid w:val="006523DE"/>
    <w:rsid w:val="006D4F3E"/>
    <w:rsid w:val="007021F2"/>
    <w:rsid w:val="00722986"/>
    <w:rsid w:val="00830C5F"/>
    <w:rsid w:val="00855DEE"/>
    <w:rsid w:val="008F1BF3"/>
    <w:rsid w:val="009518AF"/>
    <w:rsid w:val="009A13D3"/>
    <w:rsid w:val="00A51890"/>
    <w:rsid w:val="00AA2101"/>
    <w:rsid w:val="00AD688D"/>
    <w:rsid w:val="00AD6ABA"/>
    <w:rsid w:val="00B139EC"/>
    <w:rsid w:val="00B24B9C"/>
    <w:rsid w:val="00B6122C"/>
    <w:rsid w:val="00C019EA"/>
    <w:rsid w:val="00C96905"/>
    <w:rsid w:val="00CB325E"/>
    <w:rsid w:val="00CC61CC"/>
    <w:rsid w:val="00D4276F"/>
    <w:rsid w:val="00E60B79"/>
    <w:rsid w:val="00E70E62"/>
    <w:rsid w:val="00E76D19"/>
    <w:rsid w:val="00ED32AD"/>
    <w:rsid w:val="00F217EA"/>
    <w:rsid w:val="00FA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1050D"/>
  <w15:docId w15:val="{272243D2-D328-4E50-BCA0-2FC3B686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ABA"/>
    <w:rPr>
      <w:rFonts w:eastAsia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rsid w:val="00CB32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B325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25E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98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B32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link w:val="2"/>
    <w:uiPriority w:val="9"/>
    <w:rsid w:val="00CB32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postadd">
    <w:name w:val="post_add"/>
    <w:basedOn w:val="a"/>
    <w:rsid w:val="00CB325E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rsid w:val="00CB325E"/>
    <w:pPr>
      <w:spacing w:before="100" w:beforeAutospacing="1" w:after="100" w:afterAutospacing="1"/>
    </w:pPr>
  </w:style>
  <w:style w:type="character" w:styleId="a4">
    <w:name w:val="Strong"/>
    <w:uiPriority w:val="22"/>
    <w:qFormat/>
    <w:rsid w:val="00CB325E"/>
    <w:rPr>
      <w:b/>
      <w:bCs/>
    </w:rPr>
  </w:style>
  <w:style w:type="character" w:customStyle="1" w:styleId="apple-converted-space">
    <w:name w:val="apple-converted-space"/>
    <w:basedOn w:val="a0"/>
    <w:rsid w:val="00CB325E"/>
  </w:style>
  <w:style w:type="paragraph" w:styleId="a5">
    <w:name w:val="Balloon Text"/>
    <w:basedOn w:val="a"/>
    <w:link w:val="a6"/>
    <w:uiPriority w:val="99"/>
    <w:semiHidden/>
    <w:unhideWhenUsed/>
    <w:rsid w:val="00CB325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CB325E"/>
    <w:rPr>
      <w:rFonts w:ascii="Tahoma" w:hAnsi="Tahoma" w:cs="Tahoma"/>
      <w:sz w:val="16"/>
      <w:szCs w:val="16"/>
    </w:rPr>
  </w:style>
  <w:style w:type="character" w:styleId="a7">
    <w:name w:val="Hyperlink"/>
    <w:uiPriority w:val="99"/>
    <w:unhideWhenUsed/>
    <w:rsid w:val="00CB325E"/>
    <w:rPr>
      <w:color w:val="0000FF"/>
      <w:u w:val="single"/>
    </w:rPr>
  </w:style>
  <w:style w:type="paragraph" w:styleId="a8">
    <w:name w:val="No Spacing"/>
    <w:uiPriority w:val="1"/>
    <w:qFormat/>
    <w:rsid w:val="00CB325E"/>
    <w:rPr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semiHidden/>
    <w:rsid w:val="00CB325E"/>
    <w:rPr>
      <w:rFonts w:ascii="Cambria" w:eastAsia="Times New Roman" w:hAnsi="Cambria" w:cs="Times New Roman"/>
      <w:b/>
      <w:bCs/>
      <w:color w:val="4F81BD"/>
    </w:rPr>
  </w:style>
  <w:style w:type="paragraph" w:styleId="a9">
    <w:name w:val="header"/>
    <w:basedOn w:val="a"/>
    <w:link w:val="aa"/>
    <w:uiPriority w:val="99"/>
    <w:semiHidden/>
    <w:unhideWhenUsed/>
    <w:rsid w:val="000E350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0E350C"/>
  </w:style>
  <w:style w:type="paragraph" w:styleId="ab">
    <w:name w:val="footer"/>
    <w:basedOn w:val="a"/>
    <w:link w:val="ac"/>
    <w:uiPriority w:val="99"/>
    <w:unhideWhenUsed/>
    <w:rsid w:val="000E350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E350C"/>
  </w:style>
  <w:style w:type="table" w:styleId="ad">
    <w:name w:val="Table Grid"/>
    <w:basedOn w:val="a1"/>
    <w:uiPriority w:val="59"/>
    <w:rsid w:val="00FA4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basedOn w:val="a"/>
    <w:link w:val="af"/>
    <w:qFormat/>
    <w:rsid w:val="00AD6ABA"/>
    <w:pPr>
      <w:spacing w:before="100" w:beforeAutospacing="1" w:after="100" w:afterAutospacing="1"/>
      <w:jc w:val="center"/>
    </w:pPr>
    <w:rPr>
      <w:b/>
      <w:bCs/>
      <w:color w:val="000000"/>
    </w:rPr>
  </w:style>
  <w:style w:type="character" w:customStyle="1" w:styleId="af">
    <w:name w:val="Заголовок Знак"/>
    <w:link w:val="ae"/>
    <w:rsid w:val="00AD6ABA"/>
    <w:rPr>
      <w:rFonts w:ascii="Times New Roman" w:eastAsia="Times New Roman" w:hAnsi="Times New Roman" w:cs="Times New Roman"/>
      <w:b/>
      <w:bCs/>
      <w:color w:val="000000"/>
      <w:sz w:val="24"/>
      <w:szCs w:val="24"/>
      <w:lang w:eastAsia="ru-RU"/>
    </w:rPr>
  </w:style>
  <w:style w:type="character" w:styleId="af0">
    <w:name w:val="Placeholder Text"/>
    <w:uiPriority w:val="99"/>
    <w:semiHidden/>
    <w:rsid w:val="00B24B9C"/>
    <w:rPr>
      <w:color w:val="808080"/>
    </w:rPr>
  </w:style>
  <w:style w:type="character" w:styleId="af1">
    <w:name w:val="Emphasis"/>
    <w:uiPriority w:val="20"/>
    <w:qFormat/>
    <w:rsid w:val="00E70E62"/>
    <w:rPr>
      <w:i/>
      <w:iCs/>
    </w:rPr>
  </w:style>
  <w:style w:type="character" w:customStyle="1" w:styleId="40">
    <w:name w:val="Заголовок 4 Знак"/>
    <w:link w:val="4"/>
    <w:uiPriority w:val="9"/>
    <w:semiHidden/>
    <w:rsid w:val="00722986"/>
    <w:rPr>
      <w:rFonts w:ascii="Calibri" w:eastAsia="Times New Roman" w:hAnsi="Calibri" w:cs="Times New Roman"/>
      <w:b/>
      <w:bCs/>
      <w:sz w:val="28"/>
      <w:szCs w:val="28"/>
    </w:rPr>
  </w:style>
  <w:style w:type="character" w:styleId="af2">
    <w:name w:val="Unresolved Mention"/>
    <w:uiPriority w:val="99"/>
    <w:semiHidden/>
    <w:unhideWhenUsed/>
    <w:rsid w:val="00951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4126">
          <w:marLeft w:val="161"/>
          <w:marRight w:val="161"/>
          <w:marTop w:val="161"/>
          <w:marBottom w:val="1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Props1.xml><?xml version="1.0" encoding="utf-8"?>
<ds:datastoreItem xmlns:ds="http://schemas.openxmlformats.org/officeDocument/2006/customXml" ds:itemID="{4E9A00FB-8946-4FC5-9EF9-B85197D97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2343</Words>
  <Characters>13360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15672</CharactersWithSpaces>
  <SharedDoc>false</SharedDoc>
  <HLinks>
    <vt:vector size="6" baseType="variant">
      <vt:variant>
        <vt:i4>3866751</vt:i4>
      </vt:variant>
      <vt:variant>
        <vt:i4>0</vt:i4>
      </vt:variant>
      <vt:variant>
        <vt:i4>0</vt:i4>
      </vt:variant>
      <vt:variant>
        <vt:i4>5</vt:i4>
      </vt:variant>
      <vt:variant>
        <vt:lpwstr>http://alliance-din.ru/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Макар Гольев</cp:lastModifiedBy>
  <cp:revision>7</cp:revision>
  <dcterms:created xsi:type="dcterms:W3CDTF">2015-10-26T17:02:00Z</dcterms:created>
  <dcterms:modified xsi:type="dcterms:W3CDTF">2025-11-27T21:42:00Z</dcterms:modified>
</cp:coreProperties>
</file>