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77" w:rsidRDefault="001E4177" w:rsidP="001E41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00454" w:rsidRPr="00B00454" w:rsidRDefault="00302F1A" w:rsidP="00C140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Балансировка резонаторов является одной из ключевых задач в процессе изготовления любых гироскопов, независимо от принципа их действия. Цель балансировки заключается в снижении начальной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ортогональных мод</w:t>
      </w:r>
      <w:r w:rsidR="00E47E77">
        <w:rPr>
          <w:rFonts w:ascii="Times New Roman" w:hAnsi="Times New Roman" w:cs="Times New Roman"/>
          <w:sz w:val="28"/>
          <w:szCs w:val="28"/>
        </w:rPr>
        <w:t>,</w:t>
      </w:r>
      <w:r w:rsidR="00F56C48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E47E77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56C48">
        <w:rPr>
          <w:rFonts w:ascii="Times New Roman" w:hAnsi="Times New Roman" w:cs="Times New Roman"/>
          <w:sz w:val="28"/>
          <w:szCs w:val="28"/>
        </w:rPr>
        <w:t xml:space="preserve">ются в рабочем режиме гироскопа. </w:t>
      </w:r>
      <w:r>
        <w:rPr>
          <w:rFonts w:ascii="Times New Roman" w:hAnsi="Times New Roman" w:cs="Times New Roman"/>
          <w:sz w:val="28"/>
          <w:szCs w:val="28"/>
        </w:rPr>
        <w:t>Отличительное чертой 4-х массового резонатора камертонного типа изд. ДУС-ММ</w:t>
      </w:r>
      <w:r w:rsidR="00FD522D">
        <w:rPr>
          <w:rFonts w:ascii="Times New Roman" w:hAnsi="Times New Roman" w:cs="Times New Roman"/>
          <w:sz w:val="28"/>
          <w:szCs w:val="28"/>
        </w:rPr>
        <w:t>, которая усложняет процесс балансировки,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F56C48">
        <w:rPr>
          <w:rFonts w:ascii="Times New Roman" w:hAnsi="Times New Roman" w:cs="Times New Roman"/>
          <w:sz w:val="28"/>
          <w:szCs w:val="28"/>
        </w:rPr>
        <w:t xml:space="preserve"> наличие в разбалансированной системе не только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между модами, но и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разноамплитудности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между парами подвижных узлов.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Разноамплитудность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вызвана </w:t>
      </w:r>
      <w:r w:rsidR="00FD522D">
        <w:rPr>
          <w:rFonts w:ascii="Times New Roman" w:hAnsi="Times New Roman" w:cs="Times New Roman"/>
          <w:sz w:val="28"/>
          <w:szCs w:val="28"/>
        </w:rPr>
        <w:t>наличием</w:t>
      </w:r>
      <w:r w:rsidR="00F56C48">
        <w:rPr>
          <w:rFonts w:ascii="Times New Roman" w:hAnsi="Times New Roman" w:cs="Times New Roman"/>
          <w:sz w:val="28"/>
          <w:szCs w:val="28"/>
        </w:rPr>
        <w:t xml:space="preserve"> двух дополнительных добротных линейных мод</w:t>
      </w:r>
      <w:r w:rsidR="000A0B1F">
        <w:rPr>
          <w:rFonts w:ascii="Times New Roman" w:hAnsi="Times New Roman" w:cs="Times New Roman"/>
          <w:sz w:val="28"/>
          <w:szCs w:val="28"/>
        </w:rPr>
        <w:t xml:space="preserve"> (</w:t>
      </w:r>
      <w:r w:rsidR="000A0B1F">
        <w:rPr>
          <w:rFonts w:ascii="Times New Roman" w:hAnsi="Times New Roman" w:cs="Times New Roman"/>
          <w:sz w:val="28"/>
          <w:szCs w:val="28"/>
        </w:rPr>
        <w:t xml:space="preserve">мода </w:t>
      </w:r>
      <w:r w:rsidR="000A0B1F">
        <w:rPr>
          <w:rFonts w:ascii="Times New Roman" w:hAnsi="Times New Roman" w:cs="Times New Roman"/>
          <w:b/>
          <w:sz w:val="28"/>
          <w:szCs w:val="28"/>
        </w:rPr>
        <w:t>1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B1F" w:rsidRPr="000A0B1F">
        <w:rPr>
          <w:rFonts w:ascii="Times New Roman" w:hAnsi="Times New Roman" w:cs="Times New Roman"/>
          <w:sz w:val="28"/>
          <w:szCs w:val="28"/>
        </w:rPr>
        <w:t>и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0A0B1F" w:rsidRPr="00982598">
        <w:rPr>
          <w:rFonts w:ascii="Times New Roman" w:hAnsi="Times New Roman" w:cs="Times New Roman"/>
          <w:sz w:val="28"/>
          <w:szCs w:val="28"/>
        </w:rPr>
        <w:t>)</w:t>
      </w:r>
      <w:r w:rsidR="00F56C48">
        <w:rPr>
          <w:rFonts w:ascii="Times New Roman" w:hAnsi="Times New Roman" w:cs="Times New Roman"/>
          <w:sz w:val="28"/>
          <w:szCs w:val="28"/>
        </w:rPr>
        <w:t xml:space="preserve"> вблизи рабочих мод</w:t>
      </w:r>
      <w:r w:rsidR="000A0B1F">
        <w:rPr>
          <w:rFonts w:ascii="Times New Roman" w:hAnsi="Times New Roman" w:cs="Times New Roman"/>
          <w:sz w:val="28"/>
          <w:szCs w:val="28"/>
        </w:rPr>
        <w:t xml:space="preserve"> (мода 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0A0B1F" w:rsidRPr="000A0B1F">
        <w:rPr>
          <w:rFonts w:ascii="Times New Roman" w:hAnsi="Times New Roman" w:cs="Times New Roman"/>
          <w:sz w:val="28"/>
          <w:szCs w:val="28"/>
        </w:rPr>
        <w:t>и</w:t>
      </w:r>
      <w:r w:rsidR="000A0B1F" w:rsidRPr="000A0B1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0A0B1F" w:rsidRPr="000A0B1F">
        <w:rPr>
          <w:rFonts w:ascii="Book Antiqua" w:hAnsi="Book Antiqua" w:cs="Times New Roman"/>
          <w:b/>
          <w:i/>
          <w:sz w:val="28"/>
          <w:szCs w:val="28"/>
        </w:rPr>
        <w:t>’</w:t>
      </w:r>
      <w:r w:rsidR="000A0B1F">
        <w:rPr>
          <w:rFonts w:ascii="Times New Roman" w:hAnsi="Times New Roman" w:cs="Times New Roman"/>
          <w:sz w:val="28"/>
          <w:szCs w:val="28"/>
        </w:rPr>
        <w:t xml:space="preserve">). </w:t>
      </w:r>
      <w:r w:rsidR="00FD522D">
        <w:rPr>
          <w:rFonts w:ascii="Times New Roman" w:hAnsi="Times New Roman" w:cs="Times New Roman"/>
          <w:sz w:val="28"/>
          <w:szCs w:val="28"/>
        </w:rPr>
        <w:t xml:space="preserve">А сам процесс балансировка осуществляется </w:t>
      </w:r>
      <w:r w:rsidR="0046041E">
        <w:rPr>
          <w:rFonts w:ascii="Times New Roman" w:hAnsi="Times New Roman" w:cs="Times New Roman"/>
          <w:sz w:val="28"/>
          <w:szCs w:val="28"/>
        </w:rPr>
        <w:t xml:space="preserve">для двух пар </w:t>
      </w:r>
      <w:r w:rsidR="00FD522D">
        <w:rPr>
          <w:rFonts w:ascii="Times New Roman" w:hAnsi="Times New Roman" w:cs="Times New Roman"/>
          <w:sz w:val="28"/>
          <w:szCs w:val="28"/>
        </w:rPr>
        <w:t>ор</w:t>
      </w:r>
      <w:r w:rsidR="0046041E">
        <w:rPr>
          <w:rFonts w:ascii="Times New Roman" w:hAnsi="Times New Roman" w:cs="Times New Roman"/>
          <w:sz w:val="28"/>
          <w:szCs w:val="28"/>
        </w:rPr>
        <w:t>тогональных направлений</w:t>
      </w:r>
      <w:r w:rsidR="00C14074">
        <w:rPr>
          <w:rFonts w:ascii="Times New Roman" w:hAnsi="Times New Roman" w:cs="Times New Roman"/>
          <w:sz w:val="28"/>
          <w:szCs w:val="28"/>
        </w:rPr>
        <w:t xml:space="preserve">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FD522D" w:rsidRPr="00FD522D">
        <w:rPr>
          <w:rFonts w:ascii="Times New Roman" w:hAnsi="Times New Roman" w:cs="Times New Roman"/>
          <w:sz w:val="28"/>
          <w:szCs w:val="28"/>
        </w:rPr>
        <w:t xml:space="preserve">,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C14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4074">
        <w:rPr>
          <w:rFonts w:ascii="Times New Roman" w:hAnsi="Times New Roman" w:cs="Times New Roman"/>
          <w:sz w:val="28"/>
          <w:szCs w:val="28"/>
        </w:rPr>
        <w:t xml:space="preserve">и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="00FD522D" w:rsidRPr="0046041E">
        <w:rPr>
          <w:rFonts w:ascii="Times New Roman" w:hAnsi="Times New Roman" w:cs="Times New Roman"/>
          <w:sz w:val="28"/>
          <w:szCs w:val="28"/>
        </w:rPr>
        <w:t>,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B00454">
        <w:rPr>
          <w:rFonts w:ascii="Times New Roman" w:hAnsi="Times New Roman" w:cs="Times New Roman"/>
          <w:sz w:val="28"/>
          <w:szCs w:val="28"/>
        </w:rPr>
        <w:t xml:space="preserve">. </w:t>
      </w:r>
      <w:r w:rsidR="002F7475">
        <w:rPr>
          <w:rFonts w:ascii="Times New Roman" w:hAnsi="Times New Roman" w:cs="Times New Roman"/>
          <w:sz w:val="28"/>
          <w:szCs w:val="28"/>
        </w:rPr>
        <w:t>Сами балансировочные</w:t>
      </w:r>
      <w:r w:rsidR="00B00454">
        <w:rPr>
          <w:rFonts w:ascii="Times New Roman" w:hAnsi="Times New Roman" w:cs="Times New Roman"/>
          <w:sz w:val="28"/>
          <w:szCs w:val="28"/>
        </w:rPr>
        <w:t xml:space="preserve"> элементы представляют собой совокупность перемычек, служащих для корректировки массы каждого подвижного узла в 4-х направлениях. </w:t>
      </w:r>
      <w:r w:rsidR="002F7475">
        <w:rPr>
          <w:rFonts w:ascii="Times New Roman" w:hAnsi="Times New Roman" w:cs="Times New Roman"/>
          <w:sz w:val="28"/>
          <w:szCs w:val="28"/>
        </w:rPr>
        <w:t xml:space="preserve"> Удаление перемычки может осуществляться, как с помощью лазера, так и с помощью ручных инструментов. </w:t>
      </w:r>
    </w:p>
    <w:p w:rsidR="002F7475" w:rsidRDefault="00F56C48" w:rsidP="002F74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разработанная</w:t>
      </w:r>
      <w:r w:rsidR="00302F1A">
        <w:rPr>
          <w:rFonts w:ascii="Times New Roman" w:hAnsi="Times New Roman" w:cs="Times New Roman"/>
          <w:sz w:val="28"/>
          <w:szCs w:val="28"/>
        </w:rPr>
        <w:t xml:space="preserve"> методика балансировки 4-х массового резонатора, включает в себя последовательное выполнение 3-х этапов:</w:t>
      </w:r>
    </w:p>
    <w:p w:rsidR="008A3540" w:rsidRPr="008A3540" w:rsidRDefault="008A3540" w:rsidP="008A354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</w:t>
      </w:r>
      <w:r w:rsidRPr="000A0B1F">
        <w:rPr>
          <w:rFonts w:ascii="Times New Roman" w:hAnsi="Times New Roman" w:cs="Times New Roman"/>
          <w:b/>
          <w:sz w:val="28"/>
          <w:szCs w:val="28"/>
        </w:rPr>
        <w:t>1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A0B1F">
        <w:rPr>
          <w:rFonts w:ascii="Times New Roman" w:hAnsi="Times New Roman" w:cs="Times New Roman"/>
          <w:b/>
          <w:sz w:val="28"/>
          <w:szCs w:val="28"/>
        </w:rPr>
        <w:t>3</w:t>
      </w:r>
      <w:r w:rsidRPr="008A3540">
        <w:rPr>
          <w:rFonts w:ascii="Times New Roman" w:hAnsi="Times New Roman" w:cs="Times New Roman"/>
          <w:sz w:val="28"/>
          <w:szCs w:val="28"/>
        </w:rPr>
        <w:t xml:space="preserve"> в направлениях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A35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540" w:rsidRPr="008A3540" w:rsidRDefault="008A3540" w:rsidP="008A354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</w:t>
      </w:r>
      <w:r w:rsidRPr="000A0B1F">
        <w:rPr>
          <w:rFonts w:ascii="Times New Roman" w:hAnsi="Times New Roman" w:cs="Times New Roman"/>
          <w:b/>
          <w:sz w:val="28"/>
          <w:szCs w:val="28"/>
        </w:rPr>
        <w:t>1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A0B1F">
        <w:rPr>
          <w:rFonts w:ascii="Times New Roman" w:hAnsi="Times New Roman" w:cs="Times New Roman"/>
          <w:b/>
          <w:sz w:val="28"/>
          <w:szCs w:val="28"/>
        </w:rPr>
        <w:t>3</w:t>
      </w:r>
      <w:r w:rsidRPr="008A3540">
        <w:rPr>
          <w:rFonts w:ascii="Times New Roman" w:hAnsi="Times New Roman" w:cs="Times New Roman"/>
          <w:sz w:val="28"/>
          <w:szCs w:val="28"/>
        </w:rPr>
        <w:t xml:space="preserve"> в направлениях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A3540">
        <w:rPr>
          <w:rFonts w:ascii="Times New Roman" w:hAnsi="Times New Roman" w:cs="Times New Roman"/>
          <w:sz w:val="28"/>
          <w:szCs w:val="28"/>
        </w:rPr>
        <w:t>.</w:t>
      </w:r>
    </w:p>
    <w:p w:rsidR="004C055E" w:rsidRPr="00E07ED8" w:rsidRDefault="008A3540" w:rsidP="00E07ED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Снижение </w:t>
      </w:r>
      <w:proofErr w:type="spellStart"/>
      <w:r w:rsidRPr="008A3540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Pr="008A3540">
        <w:rPr>
          <w:rFonts w:ascii="Times New Roman" w:hAnsi="Times New Roman" w:cs="Times New Roman"/>
          <w:sz w:val="28"/>
          <w:szCs w:val="28"/>
        </w:rPr>
        <w:t xml:space="preserve"> рабочих мод</w:t>
      </w:r>
      <w:r w:rsidR="00A433A4">
        <w:rPr>
          <w:rFonts w:ascii="Times New Roman" w:hAnsi="Times New Roman" w:cs="Times New Roman"/>
          <w:sz w:val="28"/>
          <w:szCs w:val="28"/>
        </w:rPr>
        <w:t xml:space="preserve"> </w:t>
      </w:r>
      <w:r w:rsidR="00A433A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433A4" w:rsidRPr="000A0B1F">
        <w:rPr>
          <w:rFonts w:ascii="Times New Roman" w:hAnsi="Times New Roman" w:cs="Times New Roman"/>
          <w:sz w:val="28"/>
          <w:szCs w:val="28"/>
        </w:rPr>
        <w:t>и</w:t>
      </w:r>
      <w:r w:rsidR="00A433A4" w:rsidRPr="000A0B1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A433A4" w:rsidRPr="000A0B1F">
        <w:rPr>
          <w:rFonts w:ascii="Book Antiqua" w:hAnsi="Book Antiqua" w:cs="Times New Roman"/>
          <w:b/>
          <w:i/>
          <w:sz w:val="28"/>
          <w:szCs w:val="28"/>
        </w:rPr>
        <w:t>’</w:t>
      </w:r>
      <w:r w:rsidRPr="008A3540">
        <w:rPr>
          <w:rFonts w:ascii="Times New Roman" w:hAnsi="Times New Roman" w:cs="Times New Roman"/>
          <w:sz w:val="28"/>
          <w:szCs w:val="28"/>
        </w:rPr>
        <w:t xml:space="preserve"> для двух пар ортогональных направлений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3540">
        <w:rPr>
          <w:rFonts w:ascii="Times New Roman" w:hAnsi="Times New Roman" w:cs="Times New Roman"/>
          <w:sz w:val="28"/>
          <w:szCs w:val="28"/>
        </w:rPr>
        <w:t xml:space="preserve">,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A3540">
        <w:rPr>
          <w:rFonts w:ascii="Times New Roman" w:hAnsi="Times New Roman" w:cs="Times New Roman"/>
          <w:sz w:val="28"/>
          <w:szCs w:val="28"/>
        </w:rPr>
        <w:t xml:space="preserve">,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A3540">
        <w:rPr>
          <w:rFonts w:ascii="Times New Roman" w:hAnsi="Times New Roman" w:cs="Times New Roman"/>
          <w:sz w:val="28"/>
          <w:szCs w:val="28"/>
        </w:rPr>
        <w:t>.</w:t>
      </w:r>
    </w:p>
    <w:p w:rsidR="00E07ED8" w:rsidRDefault="00E07ED8" w:rsidP="00CD08A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67716" w:rsidRPr="00CD08A3" w:rsidRDefault="001A0955" w:rsidP="001A095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>В текущем состоянии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A0955">
        <w:rPr>
          <w:rFonts w:ascii="Times New Roman" w:hAnsi="Times New Roman" w:cs="Times New Roman"/>
          <w:sz w:val="28"/>
          <w:szCs w:val="28"/>
        </w:rPr>
        <w:t xml:space="preserve"> балансировку сложно автоматизировать</w:t>
      </w:r>
      <w:r>
        <w:rPr>
          <w:rFonts w:ascii="Times New Roman" w:hAnsi="Times New Roman" w:cs="Times New Roman"/>
          <w:sz w:val="28"/>
          <w:szCs w:val="28"/>
        </w:rPr>
        <w:t>. Для дальнейшей автоматизации балансировки необходимо решить следующие проблемы:</w:t>
      </w:r>
    </w:p>
    <w:p w:rsidR="00AA1126" w:rsidRDefault="00AA1126" w:rsidP="00B677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в аналитическом виде представить методику.</w:t>
      </w:r>
    </w:p>
    <w:p w:rsidR="00861CD9" w:rsidRDefault="00717027" w:rsidP="00B677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в численной оценке величины </w:t>
      </w:r>
      <w:r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>воздействия</w:t>
      </w:r>
      <w:r w:rsidR="00861CD9">
        <w:rPr>
          <w:rFonts w:ascii="Times New Roman" w:hAnsi="Times New Roman" w:cs="Times New Roman"/>
          <w:sz w:val="28"/>
          <w:szCs w:val="28"/>
        </w:rPr>
        <w:t xml:space="preserve"> для осуществления балансировки </w:t>
      </w:r>
      <w:r w:rsidR="001B1887">
        <w:rPr>
          <w:rFonts w:ascii="Times New Roman" w:hAnsi="Times New Roman" w:cs="Times New Roman"/>
          <w:sz w:val="28"/>
          <w:szCs w:val="28"/>
        </w:rPr>
        <w:t>в минимальное количество итераций;</w:t>
      </w:r>
    </w:p>
    <w:p w:rsidR="001A0955" w:rsidRPr="001A0955" w:rsidRDefault="001A0955" w:rsidP="001A09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 xml:space="preserve">Для усвоения методики балансировки от оператора требуется понимание </w:t>
      </w:r>
      <w:r>
        <w:rPr>
          <w:rFonts w:ascii="Times New Roman" w:hAnsi="Times New Roman" w:cs="Times New Roman"/>
          <w:sz w:val="28"/>
          <w:szCs w:val="28"/>
        </w:rPr>
        <w:t xml:space="preserve">принципов </w:t>
      </w:r>
      <w:r w:rsidRPr="001A0955">
        <w:rPr>
          <w:rFonts w:ascii="Times New Roman" w:hAnsi="Times New Roman" w:cs="Times New Roman"/>
          <w:sz w:val="28"/>
          <w:szCs w:val="28"/>
        </w:rPr>
        <w:t>работы гироскопа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ED8" w:rsidRPr="00320B6F" w:rsidRDefault="00065FBE" w:rsidP="001A09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определенных возможных разбалансированных состояниях</w:t>
      </w:r>
      <w:r w:rsidR="00D36F00">
        <w:rPr>
          <w:rFonts w:ascii="Times New Roman" w:hAnsi="Times New Roman" w:cs="Times New Roman"/>
          <w:sz w:val="28"/>
          <w:szCs w:val="28"/>
        </w:rPr>
        <w:t xml:space="preserve"> </w:t>
      </w:r>
      <w:r w:rsidR="00A96FC8">
        <w:rPr>
          <w:rFonts w:ascii="Times New Roman" w:hAnsi="Times New Roman" w:cs="Times New Roman"/>
          <w:sz w:val="28"/>
          <w:szCs w:val="28"/>
        </w:rPr>
        <w:t>методика балансировки может не работать</w:t>
      </w:r>
      <w:r w:rsidR="001A0955">
        <w:rPr>
          <w:rFonts w:ascii="Times New Roman" w:hAnsi="Times New Roman" w:cs="Times New Roman"/>
          <w:sz w:val="28"/>
          <w:szCs w:val="28"/>
        </w:rPr>
        <w:t>.</w:t>
      </w: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 машинного обучения</w:t>
      </w:r>
    </w:p>
    <w:p w:rsidR="00AE4691" w:rsidRDefault="00604DBA" w:rsidP="00AE469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Машинное обучение – это </w:t>
      </w:r>
      <w:r w:rsidRPr="00604DBA">
        <w:rPr>
          <w:color w:val="000000"/>
          <w:sz w:val="28"/>
          <w:szCs w:val="28"/>
          <w:shd w:val="clear" w:color="auto" w:fill="FFFFFF"/>
        </w:rPr>
        <w:t>обширный подраздел </w:t>
      </w:r>
      <w:r w:rsidRPr="00604DBA">
        <w:rPr>
          <w:sz w:val="28"/>
          <w:szCs w:val="28"/>
          <w:shd w:val="clear" w:color="auto" w:fill="FFFFFF"/>
        </w:rPr>
        <w:t>искусственного интеллекта</w:t>
      </w:r>
      <w:r w:rsidRPr="00604DBA">
        <w:rPr>
          <w:color w:val="000000"/>
          <w:sz w:val="28"/>
          <w:szCs w:val="28"/>
          <w:shd w:val="clear" w:color="auto" w:fill="FFFFFF"/>
        </w:rPr>
        <w:t>, изучающий методы построения </w:t>
      </w:r>
      <w:r w:rsidRPr="00604DBA">
        <w:rPr>
          <w:sz w:val="28"/>
          <w:szCs w:val="28"/>
          <w:shd w:val="clear" w:color="auto" w:fill="FFFFFF"/>
        </w:rPr>
        <w:t>алгоритмов</w:t>
      </w:r>
      <w:r w:rsidRPr="00604DBA">
        <w:rPr>
          <w:color w:val="000000"/>
          <w:sz w:val="28"/>
          <w:szCs w:val="28"/>
          <w:shd w:val="clear" w:color="auto" w:fill="FFFFFF"/>
        </w:rPr>
        <w:t>, способных обучаться. </w:t>
      </w:r>
      <w:r>
        <w:rPr>
          <w:color w:val="202122"/>
          <w:sz w:val="28"/>
          <w:szCs w:val="28"/>
        </w:rPr>
        <w:t xml:space="preserve"> </w:t>
      </w:r>
      <w:r w:rsidR="005C6326">
        <w:rPr>
          <w:color w:val="202122"/>
          <w:sz w:val="28"/>
          <w:szCs w:val="28"/>
        </w:rPr>
        <w:t>Другими словами, н</w:t>
      </w:r>
      <w:r w:rsidRPr="00604DBA">
        <w:rPr>
          <w:color w:val="202122"/>
          <w:sz w:val="28"/>
          <w:szCs w:val="28"/>
        </w:rPr>
        <w:t>а</w:t>
      </w:r>
      <w:r w:rsidR="00B76D59" w:rsidRPr="00604DBA">
        <w:rPr>
          <w:color w:val="202122"/>
          <w:sz w:val="28"/>
          <w:szCs w:val="28"/>
        </w:rPr>
        <w:t xml:space="preserve"> основе</w:t>
      </w:r>
      <w:r w:rsidRPr="00604DBA">
        <w:rPr>
          <w:color w:val="202122"/>
          <w:sz w:val="28"/>
          <w:szCs w:val="28"/>
        </w:rPr>
        <w:t xml:space="preserve"> </w:t>
      </w:r>
      <w:r w:rsidRPr="00604DBA">
        <w:rPr>
          <w:color w:val="202122"/>
          <w:sz w:val="28"/>
          <w:szCs w:val="28"/>
        </w:rPr>
        <w:t>конечн</w:t>
      </w:r>
      <w:r w:rsidRPr="00604DBA">
        <w:rPr>
          <w:color w:val="202122"/>
          <w:sz w:val="28"/>
          <w:szCs w:val="28"/>
        </w:rPr>
        <w:t>ой</w:t>
      </w:r>
      <w:r w:rsidRPr="00604DBA">
        <w:rPr>
          <w:color w:val="202122"/>
          <w:sz w:val="28"/>
          <w:szCs w:val="28"/>
        </w:rPr>
        <w:t xml:space="preserve"> совокупност</w:t>
      </w:r>
      <w:r w:rsidRPr="00604DBA">
        <w:rPr>
          <w:color w:val="202122"/>
          <w:sz w:val="28"/>
          <w:szCs w:val="28"/>
        </w:rPr>
        <w:t>и</w:t>
      </w:r>
      <w:r w:rsidRPr="00604DBA">
        <w:rPr>
          <w:color w:val="202122"/>
          <w:sz w:val="28"/>
          <w:szCs w:val="28"/>
        </w:rPr>
        <w:t> </w:t>
      </w:r>
      <w:r w:rsidRPr="005C6326">
        <w:rPr>
          <w:iCs/>
          <w:color w:val="202122"/>
          <w:sz w:val="28"/>
          <w:szCs w:val="28"/>
        </w:rPr>
        <w:t>прецедентов</w:t>
      </w:r>
      <w:r w:rsidRPr="00604DBA">
        <w:rPr>
          <w:color w:val="202122"/>
          <w:sz w:val="28"/>
          <w:szCs w:val="28"/>
        </w:rPr>
        <w:t> — пар «объект, ответ</w:t>
      </w:r>
      <w:r w:rsidRPr="00604DBA">
        <w:rPr>
          <w:color w:val="202122"/>
          <w:sz w:val="28"/>
          <w:szCs w:val="28"/>
        </w:rPr>
        <w:t xml:space="preserve">», </w:t>
      </w:r>
      <w:r w:rsidR="005C6326">
        <w:rPr>
          <w:color w:val="202122"/>
          <w:sz w:val="28"/>
          <w:szCs w:val="28"/>
        </w:rPr>
        <w:t>строится</w:t>
      </w:r>
      <w:r w:rsidR="00B76D59" w:rsidRPr="00604DBA">
        <w:rPr>
          <w:color w:val="202122"/>
          <w:sz w:val="28"/>
          <w:szCs w:val="28"/>
        </w:rPr>
        <w:t xml:space="preserve"> алгоритм, способный для любого возможного входного объекта выдать достаточно точный ответ</w:t>
      </w:r>
      <w:r w:rsidR="00254D6A">
        <w:rPr>
          <w:color w:val="202122"/>
          <w:sz w:val="28"/>
          <w:szCs w:val="28"/>
        </w:rPr>
        <w:t xml:space="preserve">. </w:t>
      </w:r>
      <w:r w:rsidR="00254D6A" w:rsidRPr="001A0955">
        <w:rPr>
          <w:color w:val="202122"/>
          <w:sz w:val="28"/>
          <w:szCs w:val="28"/>
        </w:rPr>
        <w:t>Важной особенностью при этом является способность обучаемой системы к обобщению, то есть к адекватному отклику на данные, выходящие за пределы имеющейся обучающей выборки.</w:t>
      </w:r>
    </w:p>
    <w:p w:rsidR="00AE4691" w:rsidRDefault="00AE4691" w:rsidP="00AE469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качестве объектов выступает</w:t>
      </w:r>
      <w:r w:rsidR="00811FB6">
        <w:rPr>
          <w:color w:val="202122"/>
          <w:sz w:val="28"/>
          <w:szCs w:val="28"/>
        </w:rPr>
        <w:t xml:space="preserve"> возможные</w:t>
      </w:r>
      <w:r>
        <w:rPr>
          <w:color w:val="202122"/>
          <w:sz w:val="28"/>
          <w:szCs w:val="28"/>
        </w:rPr>
        <w:t xml:space="preserve"> разбалансированные состояния резонатора, признаками которых является частоты 4 </w:t>
      </w:r>
      <w:r w:rsidR="006A0F03">
        <w:rPr>
          <w:color w:val="202122"/>
          <w:sz w:val="28"/>
          <w:szCs w:val="28"/>
        </w:rPr>
        <w:t>мод</w:t>
      </w:r>
      <w:r>
        <w:rPr>
          <w:color w:val="202122"/>
          <w:sz w:val="28"/>
          <w:szCs w:val="28"/>
        </w:rPr>
        <w:t xml:space="preserve"> и амплитуды пар подвижных масс на каждой моде. Ответом же является количество перемычек, которые необходимо удалить, чтобы</w:t>
      </w:r>
      <w:r w:rsidR="006A0F03">
        <w:rPr>
          <w:color w:val="202122"/>
          <w:sz w:val="28"/>
          <w:szCs w:val="28"/>
        </w:rPr>
        <w:t xml:space="preserve"> полностью</w:t>
      </w:r>
      <w:r>
        <w:rPr>
          <w:color w:val="202122"/>
          <w:sz w:val="28"/>
          <w:szCs w:val="28"/>
        </w:rPr>
        <w:t xml:space="preserve"> сбалансировать данную модель.</w:t>
      </w:r>
    </w:p>
    <w:p w:rsidR="00AE4691" w:rsidRDefault="00811FB6" w:rsidP="00AE469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Данная задача является задачей регрессионного анализа. </w:t>
      </w:r>
      <w:r w:rsidRPr="00811FB6">
        <w:rPr>
          <w:color w:val="000000"/>
          <w:sz w:val="28"/>
          <w:szCs w:val="28"/>
          <w:shd w:val="clear" w:color="auto" w:fill="FFFFFF"/>
        </w:rPr>
        <w:t>Параметры модели настраиваются таким образом, что модель наилучшим образом приближа</w:t>
      </w:r>
      <w:r>
        <w:rPr>
          <w:color w:val="000000"/>
          <w:sz w:val="28"/>
          <w:szCs w:val="28"/>
          <w:shd w:val="clear" w:color="auto" w:fill="FFFFFF"/>
        </w:rPr>
        <w:t>ла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данные.</w:t>
      </w:r>
      <w:r w:rsidRPr="00811FB6">
        <w:rPr>
          <w:color w:val="202122"/>
          <w:sz w:val="28"/>
          <w:szCs w:val="28"/>
        </w:rPr>
        <w:t xml:space="preserve"> </w:t>
      </w:r>
      <w:r w:rsidRPr="001A0955">
        <w:rPr>
          <w:color w:val="202122"/>
          <w:sz w:val="28"/>
          <w:szCs w:val="28"/>
        </w:rPr>
        <w:t>Для измерения точности ответов вводится оценочный </w:t>
      </w:r>
      <w:r w:rsidRPr="00811FB6">
        <w:rPr>
          <w:iCs/>
          <w:color w:val="202122"/>
          <w:sz w:val="28"/>
          <w:szCs w:val="28"/>
        </w:rPr>
        <w:t>функционал качества</w:t>
      </w:r>
      <w:r w:rsidRPr="00811FB6">
        <w:rPr>
          <w:color w:val="202122"/>
          <w:sz w:val="28"/>
          <w:szCs w:val="28"/>
        </w:rPr>
        <w:t>.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Критерие</w:t>
      </w:r>
      <w:r>
        <w:rPr>
          <w:color w:val="000000"/>
          <w:sz w:val="28"/>
          <w:szCs w:val="28"/>
          <w:shd w:val="clear" w:color="auto" w:fill="FFFFFF"/>
        </w:rPr>
        <w:t>м качества приближения целевой функцией выберем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средн</w:t>
      </w:r>
      <w:bookmarkStart w:id="0" w:name="_GoBack"/>
      <w:bookmarkEnd w:id="0"/>
      <w:r>
        <w:rPr>
          <w:sz w:val="28"/>
          <w:szCs w:val="28"/>
          <w:shd w:val="clear" w:color="auto" w:fill="FFFFFF"/>
        </w:rPr>
        <w:t>еквадратичную ошибку</w:t>
      </w:r>
    </w:p>
    <w:p w:rsidR="00B76D59" w:rsidRDefault="00B76D59" w:rsidP="001A0955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</w:p>
    <w:p w:rsidR="001A0955" w:rsidRPr="001A0955" w:rsidRDefault="001A0955" w:rsidP="00B76D59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1A0955">
        <w:rPr>
          <w:color w:val="202122"/>
          <w:sz w:val="28"/>
          <w:szCs w:val="28"/>
        </w:rPr>
        <w:t>Имеется множество </w:t>
      </w:r>
      <w:r w:rsidRPr="001A0955">
        <w:rPr>
          <w:i/>
          <w:iCs/>
          <w:color w:val="202122"/>
          <w:sz w:val="28"/>
          <w:szCs w:val="28"/>
        </w:rPr>
        <w:t>объектов</w:t>
      </w:r>
      <w:r w:rsidRPr="001A0955">
        <w:rPr>
          <w:color w:val="202122"/>
          <w:sz w:val="28"/>
          <w:szCs w:val="28"/>
        </w:rPr>
        <w:t> (ситуаций) и множество возможных </w:t>
      </w:r>
      <w:r w:rsidRPr="001A0955">
        <w:rPr>
          <w:i/>
          <w:iCs/>
          <w:color w:val="202122"/>
          <w:sz w:val="28"/>
          <w:szCs w:val="28"/>
        </w:rPr>
        <w:t>ответов</w:t>
      </w:r>
      <w:r w:rsidRPr="001A0955">
        <w:rPr>
          <w:color w:val="202122"/>
          <w:sz w:val="28"/>
          <w:szCs w:val="28"/>
        </w:rPr>
        <w:t> (откликов, реакций). Существует некоторая зависимость между ответами и объектами, но она неизвестна. Известна только конечная совокупность </w:t>
      </w:r>
      <w:r w:rsidRPr="001A0955">
        <w:rPr>
          <w:i/>
          <w:iCs/>
          <w:color w:val="202122"/>
          <w:sz w:val="28"/>
          <w:szCs w:val="28"/>
        </w:rPr>
        <w:t>прецедентов</w:t>
      </w:r>
      <w:r w:rsidRPr="001A0955">
        <w:rPr>
          <w:color w:val="202122"/>
          <w:sz w:val="28"/>
          <w:szCs w:val="28"/>
        </w:rPr>
        <w:t> — пар «объект, ответ», называемая </w:t>
      </w:r>
      <w:r w:rsidRPr="001A0955">
        <w:rPr>
          <w:i/>
          <w:iCs/>
          <w:color w:val="202122"/>
          <w:sz w:val="28"/>
          <w:szCs w:val="28"/>
        </w:rPr>
        <w:t>обучающей выборкой</w:t>
      </w:r>
      <w:r w:rsidRPr="001A0955">
        <w:rPr>
          <w:color w:val="202122"/>
          <w:sz w:val="28"/>
          <w:szCs w:val="28"/>
        </w:rPr>
        <w:t xml:space="preserve">. На основе этих данных требуется восстановить неявную зависимость, то есть построить алгоритм, способный для любого возможного входного объекта выдать достаточно точный классифицирующий ответ. Эта зависимость не обязательно выражается аналитически, и здесь </w:t>
      </w:r>
      <w:proofErr w:type="spellStart"/>
      <w:r w:rsidRPr="001A0955">
        <w:rPr>
          <w:color w:val="202122"/>
          <w:sz w:val="28"/>
          <w:szCs w:val="28"/>
        </w:rPr>
        <w:t>нейросети</w:t>
      </w:r>
      <w:proofErr w:type="spellEnd"/>
      <w:r w:rsidRPr="001A0955">
        <w:rPr>
          <w:color w:val="202122"/>
          <w:sz w:val="28"/>
          <w:szCs w:val="28"/>
        </w:rPr>
        <w:t xml:space="preserve"> реализуют принцип эмпирически формируемого решения. Важной особенностью при этом является способность обучаемой системы к обобщению, то есть к адекватному отклику на данные, выходящие за пределы имеющейся обучающей выборки. Для измерения точности ответов вводится оценочный </w:t>
      </w:r>
      <w:r w:rsidRPr="001A0955">
        <w:rPr>
          <w:i/>
          <w:iCs/>
          <w:color w:val="202122"/>
          <w:sz w:val="28"/>
          <w:szCs w:val="28"/>
        </w:rPr>
        <w:t>функционал качества</w:t>
      </w:r>
      <w:r w:rsidRPr="001A0955">
        <w:rPr>
          <w:color w:val="202122"/>
          <w:sz w:val="28"/>
          <w:szCs w:val="28"/>
        </w:rPr>
        <w:t>.</w:t>
      </w:r>
    </w:p>
    <w:p w:rsidR="00E07ED8" w:rsidRDefault="00E07ED8" w:rsidP="00E07ED8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</w:p>
    <w:p w:rsidR="00E07ED8" w:rsidRP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sectPr w:rsidR="00E07ED8" w:rsidRPr="00E0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4BDC"/>
    <w:multiLevelType w:val="hybridMultilevel"/>
    <w:tmpl w:val="2744D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A0466"/>
    <w:multiLevelType w:val="hybridMultilevel"/>
    <w:tmpl w:val="FA96D41C"/>
    <w:lvl w:ilvl="0" w:tplc="E9EC9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B96EC4"/>
    <w:multiLevelType w:val="hybridMultilevel"/>
    <w:tmpl w:val="48AA1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9487714"/>
    <w:multiLevelType w:val="hybridMultilevel"/>
    <w:tmpl w:val="536A8EF0"/>
    <w:lvl w:ilvl="0" w:tplc="621E84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ACD65F2"/>
    <w:multiLevelType w:val="hybridMultilevel"/>
    <w:tmpl w:val="DD9AD5D0"/>
    <w:lvl w:ilvl="0" w:tplc="5BC27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A"/>
    <w:rsid w:val="0006465B"/>
    <w:rsid w:val="00065FBE"/>
    <w:rsid w:val="000A0B1F"/>
    <w:rsid w:val="001374A7"/>
    <w:rsid w:val="00185A4D"/>
    <w:rsid w:val="001A0955"/>
    <w:rsid w:val="001B1887"/>
    <w:rsid w:val="001B674A"/>
    <w:rsid w:val="001E4177"/>
    <w:rsid w:val="00254D6A"/>
    <w:rsid w:val="002F7475"/>
    <w:rsid w:val="00302F1A"/>
    <w:rsid w:val="00320B6F"/>
    <w:rsid w:val="00343321"/>
    <w:rsid w:val="00343F72"/>
    <w:rsid w:val="0046041E"/>
    <w:rsid w:val="004C055E"/>
    <w:rsid w:val="005C6326"/>
    <w:rsid w:val="00604DBA"/>
    <w:rsid w:val="00641DDD"/>
    <w:rsid w:val="006A0F03"/>
    <w:rsid w:val="00717027"/>
    <w:rsid w:val="00811FB6"/>
    <w:rsid w:val="00861CD9"/>
    <w:rsid w:val="008A3540"/>
    <w:rsid w:val="00982598"/>
    <w:rsid w:val="00A433A4"/>
    <w:rsid w:val="00A96FC8"/>
    <w:rsid w:val="00AA1126"/>
    <w:rsid w:val="00AE4691"/>
    <w:rsid w:val="00B00454"/>
    <w:rsid w:val="00B67716"/>
    <w:rsid w:val="00B76D59"/>
    <w:rsid w:val="00C14074"/>
    <w:rsid w:val="00CD08A3"/>
    <w:rsid w:val="00CE217A"/>
    <w:rsid w:val="00CE5B3B"/>
    <w:rsid w:val="00D36F00"/>
    <w:rsid w:val="00E07ED8"/>
    <w:rsid w:val="00E47E77"/>
    <w:rsid w:val="00F56C48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F9B54-26E5-47CC-8EBE-57FDA7B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D52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0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2021-06-07T11:08:00Z</dcterms:created>
  <dcterms:modified xsi:type="dcterms:W3CDTF">2021-06-07T14:04:00Z</dcterms:modified>
</cp:coreProperties>
</file>