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Практические работы 2–6</w:t>
      </w:r>
    </w:p>
    <w:p>
      <w:pPr>
        <w:jc w:val="center"/>
      </w:pPr>
      <w:r>
        <w:rPr>
          <w:i/>
        </w:rPr>
        <w:t>Проект информационной системы для ООО «Фирма»</w:t>
      </w:r>
    </w:p>
    <w:p>
      <w:r>
        <w:t>Выполненные задания по материалам фотографий. В качестве индивидуального варианта принят пример ООО «Фирма» из методических материалов. Поскольку конкретные реквизиты предприятия и фактические результаты обследования в задании не указаны, количественные показатели и названия сотрудников не выдумываются.</w:t>
      </w:r>
    </w:p>
    <w:p>
      <w:pPr>
        <w:pStyle w:val="Heading1"/>
      </w:pPr>
      <w:r>
        <w:t>Практическая работа № 2. Цель предпроектного обследования</w:t>
      </w:r>
    </w:p>
    <w:p>
      <w:r>
        <w:t>Отчёт о предпроектном обследовании ООО «Фирма» для внедрения информационной системы (ИС)</w:t>
      </w:r>
    </w:p>
    <w:p>
      <w:pPr>
        <w:pStyle w:val="Heading2"/>
      </w:pPr>
      <w:r>
        <w:t>1. Цель проведения обследования</w:t>
      </w:r>
    </w:p>
    <w:p>
      <w:r>
        <w:t>Предпроектное обследование определяет, какие процессы и подразделения ООО «Фирма» следует автоматизировать, какие данные и документы они используют и какие требования предъявляют к будущей ИС. Итогом становятся согласованный перечень учетных подсистем, требования к рабочим местам и данным, схема информационных связей и план внедрения.</w:t>
      </w:r>
    </w:p>
    <w:p>
      <w:pPr>
        <w:pStyle w:val="ListBullet"/>
      </w:pPr>
      <w:r>
        <w:t>Изучить организационную структуру, функции подразделений и ответственность пользователей.</w:t>
      </w:r>
    </w:p>
    <w:p>
      <w:pPr>
        <w:pStyle w:val="ListBullet"/>
      </w:pPr>
      <w:r>
        <w:t>Описать действующий документооборот, учетную политику и обмен данными между подразделениями.</w:t>
      </w:r>
    </w:p>
    <w:p>
      <w:pPr>
        <w:pStyle w:val="ListBullet"/>
      </w:pPr>
      <w:r>
        <w:t>Оценить применяемые программы, техническое состояние компьютерного парка и уровень автоматизации.</w:t>
      </w:r>
    </w:p>
    <w:p>
      <w:pPr>
        <w:pStyle w:val="ListBullet"/>
      </w:pPr>
      <w:r>
        <w:t>Выявить дублирование ввода, задержки обработки и риски потери или несогласованности данных.</w:t>
      </w:r>
    </w:p>
    <w:p>
      <w:pPr>
        <w:pStyle w:val="ListBullet"/>
      </w:pPr>
      <w:r>
        <w:t>Сформировать требования к функциональным и обеспечивающим подсистемам, а также этапам внедрения.</w:t>
      </w:r>
    </w:p>
    <w:p>
      <w:pPr>
        <w:pStyle w:val="Heading2"/>
      </w:pPr>
      <w:r>
        <w:t>Ожидаемый результат обследования</w:t>
      </w:r>
    </w:p>
    <w:p>
      <w:r>
        <w:t>Руководство получает описание текущего состояния и целевой модели учета. На этой основе можно подготовить техническое задание, оценить ресурсы и внедрять систему по подсистемам, сохраняя контроль за качеством данных и непрерывностью работы.</w:t>
      </w:r>
    </w:p>
    <w:p>
      <w:pPr>
        <w:pStyle w:val="Heading1"/>
      </w:pPr>
      <w:r>
        <w:t>Практическая работа № 3. Организационная структура и информационные потоки</w:t>
      </w:r>
    </w:p>
    <w:p>
      <w:r>
        <w:t>В примере на фотографиях ООО «Фирма» перерабатывает молоко. Производство включает цех цельномолочной продукции, цех сыродельного производства и цех сухих продуктов. Удаленный цех мороженого расположен примерно в 2 км от основной площадки. Заготовкой сырья занимается отдел с главным приемным пунктом и восемью молокоприемными пунктами. Лаборатория контролирует поступающее молоко и готовую продукцию, а сбыт ведут отдел комбината и три торговых дома.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b/>
              </w:rPr>
              <w:t>Подразделение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b/>
              </w:rPr>
              <w:t>Основные задачи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b/>
              </w:rPr>
              <w:t>Ключевые данные / документы</w:t>
            </w:r>
          </w:p>
        </w:tc>
      </w:tr>
      <w:tr>
        <w:tc>
          <w:tcPr>
            <w:tcW w:type="dxa" w:w="3312"/>
            <w:vAlign w:val="center"/>
          </w:tcPr>
          <w:p>
            <w:r>
              <w:t>Руководство</w:t>
            </w:r>
          </w:p>
        </w:tc>
        <w:tc>
          <w:tcPr>
            <w:tcW w:type="dxa" w:w="3312"/>
            <w:vAlign w:val="center"/>
          </w:tcPr>
          <w:p>
            <w:r>
              <w:t>Планирование, контроль, управленческие решения</w:t>
            </w:r>
          </w:p>
        </w:tc>
        <w:tc>
          <w:tcPr>
            <w:tcW w:type="dxa" w:w="3312"/>
            <w:vAlign w:val="center"/>
          </w:tcPr>
          <w:p>
            <w:r>
              <w:t>Планы, бюджеты, управленческие отчеты</w:t>
            </w:r>
          </w:p>
        </w:tc>
      </w:tr>
      <w:tr>
        <w:tc>
          <w:tcPr>
            <w:tcW w:type="dxa" w:w="3312"/>
            <w:vAlign w:val="center"/>
          </w:tcPr>
          <w:p>
            <w:r>
              <w:t>Производство и цеха</w:t>
            </w:r>
          </w:p>
        </w:tc>
        <w:tc>
          <w:tcPr>
            <w:tcW w:type="dxa" w:w="3312"/>
            <w:vAlign w:val="center"/>
          </w:tcPr>
          <w:p>
            <w:r>
              <w:t>План выпуска, учет сырья, полуфабрикатов и готовой продукции</w:t>
            </w:r>
          </w:p>
        </w:tc>
        <w:tc>
          <w:tcPr>
            <w:tcW w:type="dxa" w:w="3312"/>
            <w:vAlign w:val="center"/>
          </w:tcPr>
          <w:p>
            <w:r>
              <w:t>Заказы, сменные задания, нормы, отчеты о выпуске</w:t>
            </w:r>
          </w:p>
        </w:tc>
      </w:tr>
      <w:tr>
        <w:tc>
          <w:tcPr>
            <w:tcW w:type="dxa" w:w="3312"/>
            <w:vAlign w:val="center"/>
          </w:tcPr>
          <w:p>
            <w:r>
              <w:t>Склад и экспедиция</w:t>
            </w:r>
          </w:p>
        </w:tc>
        <w:tc>
          <w:tcPr>
            <w:tcW w:type="dxa" w:w="3312"/>
            <w:vAlign w:val="center"/>
          </w:tcPr>
          <w:p>
            <w:r>
              <w:t>Прием, хранение, межцеховые перемещения, отгрузка</w:t>
            </w:r>
          </w:p>
        </w:tc>
        <w:tc>
          <w:tcPr>
            <w:tcW w:type="dxa" w:w="3312"/>
            <w:vAlign w:val="center"/>
          </w:tcPr>
          <w:p>
            <w:r>
              <w:t>Приходные и расходные документы, накладные, остатки</w:t>
            </w:r>
          </w:p>
        </w:tc>
      </w:tr>
      <w:tr>
        <w:tc>
          <w:tcPr>
            <w:tcW w:type="dxa" w:w="3312"/>
            <w:vAlign w:val="center"/>
          </w:tcPr>
          <w:p>
            <w:r>
              <w:t>Снабжение</w:t>
            </w:r>
          </w:p>
        </w:tc>
        <w:tc>
          <w:tcPr>
            <w:tcW w:type="dxa" w:w="3312"/>
            <w:vAlign w:val="center"/>
          </w:tcPr>
          <w:p>
            <w:r>
              <w:t>Закупка сырья и материалов, работа с поставщиками</w:t>
            </w:r>
          </w:p>
        </w:tc>
        <w:tc>
          <w:tcPr>
            <w:tcW w:type="dxa" w:w="3312"/>
            <w:vAlign w:val="center"/>
          </w:tcPr>
          <w:p>
            <w:r>
              <w:t>Заявки, заказы поставщикам, счета и накладные</w:t>
            </w:r>
          </w:p>
        </w:tc>
      </w:tr>
      <w:tr>
        <w:tc>
          <w:tcPr>
            <w:tcW w:type="dxa" w:w="3312"/>
            <w:vAlign w:val="center"/>
          </w:tcPr>
          <w:p>
            <w:r>
              <w:t>Продажи</w:t>
            </w:r>
          </w:p>
        </w:tc>
        <w:tc>
          <w:tcPr>
            <w:tcW w:type="dxa" w:w="3312"/>
            <w:vAlign w:val="center"/>
          </w:tcPr>
          <w:p>
            <w:r>
              <w:t>Заказы покупателей, цены, реализация и возвраты</w:t>
            </w:r>
          </w:p>
        </w:tc>
        <w:tc>
          <w:tcPr>
            <w:tcW w:type="dxa" w:w="3312"/>
            <w:vAlign w:val="center"/>
          </w:tcPr>
          <w:p>
            <w:r>
              <w:t>Заказы, прайсы, реализации, возвратные документы</w:t>
            </w:r>
          </w:p>
        </w:tc>
      </w:tr>
      <w:tr>
        <w:tc>
          <w:tcPr>
            <w:tcW w:type="dxa" w:w="3312"/>
            <w:vAlign w:val="center"/>
          </w:tcPr>
          <w:p>
            <w:r>
              <w:t>Бухгалтерия и финансы</w:t>
            </w:r>
          </w:p>
        </w:tc>
        <w:tc>
          <w:tcPr>
            <w:tcW w:type="dxa" w:w="3312"/>
            <w:vAlign w:val="center"/>
          </w:tcPr>
          <w:p>
            <w:r>
              <w:t>Касса, банк, взаиморасчеты, затраты, регламентированная отчетность</w:t>
            </w:r>
          </w:p>
        </w:tc>
        <w:tc>
          <w:tcPr>
            <w:tcW w:type="dxa" w:w="3312"/>
            <w:vAlign w:val="center"/>
          </w:tcPr>
          <w:p>
            <w:r>
              <w:t>Платежные документы, проводки, книги покупок/продаж</w:t>
            </w:r>
          </w:p>
        </w:tc>
      </w:tr>
      <w:tr>
        <w:tc>
          <w:tcPr>
            <w:tcW w:type="dxa" w:w="3312"/>
            <w:vAlign w:val="center"/>
          </w:tcPr>
          <w:p>
            <w:r>
              <w:t>Кадры и расчет зарплаты</w:t>
            </w:r>
          </w:p>
        </w:tc>
        <w:tc>
          <w:tcPr>
            <w:tcW w:type="dxa" w:w="3312"/>
            <w:vAlign w:val="center"/>
          </w:tcPr>
          <w:p>
            <w:r>
              <w:t>Кадровые события, начисления и удержания</w:t>
            </w:r>
          </w:p>
        </w:tc>
        <w:tc>
          <w:tcPr>
            <w:tcW w:type="dxa" w:w="3312"/>
            <w:vAlign w:val="center"/>
          </w:tcPr>
          <w:p>
            <w:r>
              <w:t>Приказы, табели, расчетные ведомости</w:t>
            </w:r>
          </w:p>
        </w:tc>
      </w:tr>
      <w:tr>
        <w:tc>
          <w:tcPr>
            <w:tcW w:type="dxa" w:w="3312"/>
            <w:vAlign w:val="center"/>
          </w:tcPr>
          <w:p>
            <w:r>
              <w:t>Лаборатория / качество</w:t>
            </w:r>
          </w:p>
        </w:tc>
        <w:tc>
          <w:tcPr>
            <w:tcW w:type="dxa" w:w="3312"/>
            <w:vAlign w:val="center"/>
          </w:tcPr>
          <w:p>
            <w:r>
              <w:t>Контроль партий и показателей продукции</w:t>
            </w:r>
          </w:p>
        </w:tc>
        <w:tc>
          <w:tcPr>
            <w:tcW w:type="dxa" w:w="3312"/>
            <w:vAlign w:val="center"/>
          </w:tcPr>
          <w:p>
            <w:r>
              <w:t>Качественные удостоверения, результаты анализов, сроки годности</w:t>
            </w:r>
          </w:p>
        </w:tc>
      </w:tr>
      <w:tr>
        <w:tc>
          <w:tcPr>
            <w:tcW w:type="dxa" w:w="3312"/>
            <w:vAlign w:val="center"/>
          </w:tcPr>
          <w:p>
            <w:r>
              <w:t>ИТ-служба</w:t>
            </w:r>
          </w:p>
        </w:tc>
        <w:tc>
          <w:tcPr>
            <w:tcW w:type="dxa" w:w="3312"/>
            <w:vAlign w:val="center"/>
          </w:tcPr>
          <w:p>
            <w:r>
              <w:t>Рабочие места, учетные записи, резервное копирование и поддержка</w:t>
            </w:r>
          </w:p>
        </w:tc>
        <w:tc>
          <w:tcPr>
            <w:tcW w:type="dxa" w:w="3312"/>
            <w:vAlign w:val="center"/>
          </w:tcPr>
          <w:p>
            <w:r>
              <w:t>Заявки пользователей, журналы событий, регламенты</w:t>
            </w:r>
          </w:p>
        </w:tc>
      </w:tr>
    </w:tbl>
    <w:p>
      <w:r>
        <w:t>Основные информационные потоки: продажи передают заказы в производство и склад; производство получает сырье со склада и возвращает сведения о выпуске; склад передает отгрузочные документы в бухгалтерию; снабжение передает документы о закупках в склад и бухгалтерию; лаборатория связывает результаты контроля с партией продукции; кадры и расчет зарплаты передают итоговые данные для учета затрат. Руководство получает сводные отчеты из учетных подсистем.</w:t>
      </w:r>
    </w:p>
    <w:p>
      <w:r>
        <w:t>Целевая схема предусматривает единые справочники контрагентов, номенклатуры, подразделений и складов. Документы должны вводиться один раз и далее использоваться связанными подразделениями.</w:t>
      </w:r>
    </w:p>
    <w:p>
      <w:pPr>
        <w:pStyle w:val="Heading1"/>
      </w:pPr>
      <w:r>
        <w:t>Практическая работа № 4. Функции подсистем и учетная политика</w:t>
      </w:r>
    </w:p>
    <w:p>
      <w:r>
        <w:t>Функциональная декомпозиция ИС ООО «Фирма»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b/>
              </w:rPr>
              <w:t>Подсистема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b/>
              </w:rPr>
              <w:t>Функции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b/>
              </w:rPr>
              <w:t>Результат автоматизации</w:t>
            </w:r>
          </w:p>
        </w:tc>
      </w:tr>
      <w:tr>
        <w:tc>
          <w:tcPr>
            <w:tcW w:type="dxa" w:w="3312"/>
            <w:vAlign w:val="center"/>
          </w:tcPr>
          <w:p>
            <w:r>
              <w:t>Бухгалтерия</w:t>
            </w:r>
          </w:p>
        </w:tc>
        <w:tc>
          <w:tcPr>
            <w:tcW w:type="dxa" w:w="3312"/>
            <w:vAlign w:val="center"/>
          </w:tcPr>
          <w:p>
            <w:r>
              <w:t>План счетов, первичные документы, проводки, главная книга, отчетность</w:t>
            </w:r>
          </w:p>
        </w:tc>
        <w:tc>
          <w:tcPr>
            <w:tcW w:type="dxa" w:w="3312"/>
            <w:vAlign w:val="center"/>
          </w:tcPr>
          <w:p>
            <w:r>
              <w:t>Согласованный финансовый учет</w:t>
            </w:r>
          </w:p>
        </w:tc>
      </w:tr>
      <w:tr>
        <w:tc>
          <w:tcPr>
            <w:tcW w:type="dxa" w:w="3312"/>
            <w:vAlign w:val="center"/>
          </w:tcPr>
          <w:p>
            <w:r>
              <w:t>Денежные средства</w:t>
            </w:r>
          </w:p>
        </w:tc>
        <w:tc>
          <w:tcPr>
            <w:tcW w:type="dxa" w:w="3312"/>
            <w:vAlign w:val="center"/>
          </w:tcPr>
          <w:p>
            <w:r>
              <w:t>Касса, банк, платежи, клиент-банк, взаимозачеты</w:t>
            </w:r>
          </w:p>
        </w:tc>
        <w:tc>
          <w:tcPr>
            <w:tcW w:type="dxa" w:w="3312"/>
            <w:vAlign w:val="center"/>
          </w:tcPr>
          <w:p>
            <w:r>
              <w:t>Контроль движения денег и расчетов</w:t>
            </w:r>
          </w:p>
        </w:tc>
      </w:tr>
      <w:tr>
        <w:tc>
          <w:tcPr>
            <w:tcW w:type="dxa" w:w="3312"/>
            <w:vAlign w:val="center"/>
          </w:tcPr>
          <w:p>
            <w:r>
              <w:t>Продажи и готовая продукция</w:t>
            </w:r>
          </w:p>
        </w:tc>
        <w:tc>
          <w:tcPr>
            <w:tcW w:type="dxa" w:w="3312"/>
            <w:vAlign w:val="center"/>
          </w:tcPr>
          <w:p>
            <w:r>
              <w:t>Заказы, цены, выпуск и перемещения ГП, отгрузка, возвраты</w:t>
            </w:r>
          </w:p>
        </w:tc>
        <w:tc>
          <w:tcPr>
            <w:tcW w:type="dxa" w:w="3312"/>
            <w:vAlign w:val="center"/>
          </w:tcPr>
          <w:p>
            <w:r>
              <w:t>Остатки и продажи по партиям и контрагентам</w:t>
            </w:r>
          </w:p>
        </w:tc>
      </w:tr>
      <w:tr>
        <w:tc>
          <w:tcPr>
            <w:tcW w:type="dxa" w:w="3312"/>
            <w:vAlign w:val="center"/>
          </w:tcPr>
          <w:p>
            <w:r>
              <w:t>Снабжение и склад материалов</w:t>
            </w:r>
          </w:p>
        </w:tc>
        <w:tc>
          <w:tcPr>
            <w:tcW w:type="dxa" w:w="3312"/>
            <w:vAlign w:val="center"/>
          </w:tcPr>
          <w:p>
            <w:r>
              <w:t>Заявки, поступления сырья/материалов, передача в производство</w:t>
            </w:r>
          </w:p>
        </w:tc>
        <w:tc>
          <w:tcPr>
            <w:tcW w:type="dxa" w:w="3312"/>
            <w:vAlign w:val="center"/>
          </w:tcPr>
          <w:p>
            <w:r>
              <w:t>Контроль запасов и потребности закупок</w:t>
            </w:r>
          </w:p>
        </w:tc>
      </w:tr>
      <w:tr>
        <w:tc>
          <w:tcPr>
            <w:tcW w:type="dxa" w:w="3312"/>
            <w:vAlign w:val="center"/>
          </w:tcPr>
          <w:p>
            <w:r>
              <w:t>Производство</w:t>
            </w:r>
          </w:p>
        </w:tc>
        <w:tc>
          <w:tcPr>
            <w:tcW w:type="dxa" w:w="3312"/>
            <w:vAlign w:val="center"/>
          </w:tcPr>
          <w:p>
            <w:r>
              <w:t>Планирование, нормы расхода, выпуск полуфабрикатов и продукции, фактический расход</w:t>
            </w:r>
          </w:p>
        </w:tc>
        <w:tc>
          <w:tcPr>
            <w:tcW w:type="dxa" w:w="3312"/>
            <w:vAlign w:val="center"/>
          </w:tcPr>
          <w:p>
            <w:r>
              <w:t>Сопоставление плана, норм и факта</w:t>
            </w:r>
          </w:p>
        </w:tc>
      </w:tr>
      <w:tr>
        <w:tc>
          <w:tcPr>
            <w:tcW w:type="dxa" w:w="3312"/>
            <w:vAlign w:val="center"/>
          </w:tcPr>
          <w:p>
            <w:r>
              <w:t>Качество</w:t>
            </w:r>
          </w:p>
        </w:tc>
        <w:tc>
          <w:tcPr>
            <w:tcW w:type="dxa" w:w="3312"/>
            <w:vAlign w:val="center"/>
          </w:tcPr>
          <w:p>
            <w:r>
              <w:t>Партии, сроки годности, показатели лаборатории, штрихкодирование</w:t>
            </w:r>
          </w:p>
        </w:tc>
        <w:tc>
          <w:tcPr>
            <w:tcW w:type="dxa" w:w="3312"/>
            <w:vAlign w:val="center"/>
          </w:tcPr>
          <w:p>
            <w:r>
              <w:t>Прослеживаемость и блокировка несоответствующей продукции</w:t>
            </w:r>
          </w:p>
        </w:tc>
      </w:tr>
      <w:tr>
        <w:tc>
          <w:tcPr>
            <w:tcW w:type="dxa" w:w="3312"/>
            <w:vAlign w:val="center"/>
          </w:tcPr>
          <w:p>
            <w:r>
              <w:t>Основные средства</w:t>
            </w:r>
          </w:p>
        </w:tc>
        <w:tc>
          <w:tcPr>
            <w:tcW w:type="dxa" w:w="3312"/>
            <w:vAlign w:val="center"/>
          </w:tcPr>
          <w:p>
            <w:r>
              <w:t>Поступление, ввод, перемещение, амортизация</w:t>
            </w:r>
          </w:p>
        </w:tc>
        <w:tc>
          <w:tcPr>
            <w:tcW w:type="dxa" w:w="3312"/>
            <w:vAlign w:val="center"/>
          </w:tcPr>
          <w:p>
            <w:r>
              <w:t>Учет состояния и стоимости ОС</w:t>
            </w:r>
          </w:p>
        </w:tc>
      </w:tr>
      <w:tr>
        <w:tc>
          <w:tcPr>
            <w:tcW w:type="dxa" w:w="3312"/>
            <w:vAlign w:val="center"/>
          </w:tcPr>
          <w:p>
            <w:r>
              <w:t>Зарплата и кадры</w:t>
            </w:r>
          </w:p>
        </w:tc>
        <w:tc>
          <w:tcPr>
            <w:tcW w:type="dxa" w:w="3312"/>
            <w:vAlign w:val="center"/>
          </w:tcPr>
          <w:p>
            <w:r>
              <w:t>Кадровые документы и расчет зарплаты с передачей итогов в учетную систему</w:t>
            </w:r>
          </w:p>
        </w:tc>
        <w:tc>
          <w:tcPr>
            <w:tcW w:type="dxa" w:w="3312"/>
            <w:vAlign w:val="center"/>
          </w:tcPr>
          <w:p>
            <w:r>
              <w:t>Разделение кадрового расчета и финансового отражения</w:t>
            </w:r>
          </w:p>
        </w:tc>
      </w:tr>
      <w:tr>
        <w:tc>
          <w:tcPr>
            <w:tcW w:type="dxa" w:w="3312"/>
            <w:vAlign w:val="center"/>
          </w:tcPr>
          <w:p>
            <w:r>
              <w:t>Бюджетирование</w:t>
            </w:r>
          </w:p>
        </w:tc>
        <w:tc>
          <w:tcPr>
            <w:tcW w:type="dxa" w:w="3312"/>
            <w:vAlign w:val="center"/>
          </w:tcPr>
          <w:p>
            <w:r>
              <w:t>Заказы, планы выпуска и закупок, бюджеты, управленческий анализ</w:t>
            </w:r>
          </w:p>
        </w:tc>
        <w:tc>
          <w:tcPr>
            <w:tcW w:type="dxa" w:w="3312"/>
            <w:vAlign w:val="center"/>
          </w:tcPr>
          <w:p>
            <w:r>
              <w:t>План-фактный анализ и управленческие решения</w:t>
            </w:r>
          </w:p>
        </w:tc>
      </w:tr>
    </w:tbl>
    <w:p>
      <w:pPr>
        <w:pStyle w:val="Heading2"/>
      </w:pPr>
      <w:r>
        <w:t>Основные положения учетной политики (проект)</w:t>
      </w:r>
    </w:p>
    <w:p>
      <w:pPr>
        <w:pStyle w:val="ListBullet"/>
      </w:pPr>
      <w:r>
        <w:t>Бухгалтерский учет ведется по утвержденному рабочему плану счетов и действующим правилам учета; первичные документы имеют обязательные реквизиты и подтверждающие основания.</w:t>
      </w:r>
    </w:p>
    <w:p>
      <w:pPr>
        <w:pStyle w:val="ListBullet"/>
      </w:pPr>
      <w:r>
        <w:t>Учет запасов ведется по номенклатуре, складам и партиям. Для готовой продукции обеспечивается связь партии с выпуском, качественными показателями и отгрузкой.</w:t>
      </w:r>
    </w:p>
    <w:p>
      <w:pPr>
        <w:pStyle w:val="ListBullet"/>
      </w:pPr>
      <w:r>
        <w:t>Сырье и материалы списываются в производство по установленным нормам с фиксацией фактического расхода и отклонений.</w:t>
      </w:r>
    </w:p>
    <w:p>
      <w:pPr>
        <w:pStyle w:val="ListBullet"/>
      </w:pPr>
      <w:r>
        <w:t>Доходы, расходы и затраты отражаются по видам деятельности и подразделениям. Метод оценки запасов и порядок закрытия периода утверждаются руководителем и главным бухгалтером до настройки системы.</w:t>
      </w:r>
    </w:p>
    <w:p>
      <w:pPr>
        <w:pStyle w:val="ListBullet"/>
      </w:pPr>
      <w:r>
        <w:t>Денежные операции регистрируются по кассовым и банковским документам; расчеты с контрагентами ведутся в аналитике по договорам и документам.</w:t>
      </w:r>
    </w:p>
    <w:p>
      <w:pPr>
        <w:pStyle w:val="ListBullet"/>
      </w:pPr>
      <w:r>
        <w:t>Права доступа назначаются по должностным обязанностям. Изменения справочников и документов должны журналироваться; резервные копии создаются регулярно и проверяются восстановлением.</w:t>
      </w:r>
    </w:p>
    <w:p>
      <w:r>
        <w:t>Примечание: конкретный способ оценки запасов, формы первичных документов и налоговый режим нужно подтвердить у руководителя и главного бухгалтера предприятия до утверждения политики.</w:t>
      </w:r>
    </w:p>
    <w:p>
      <w:pPr>
        <w:pStyle w:val="Heading1"/>
      </w:pPr>
      <w:r>
        <w:t>Практическая работа № 5. Компьютерный парк и локальная сеть</w:t>
      </w:r>
    </w:p>
    <w:p>
      <w:r>
        <w:t>Инвентаризация по фотографии содержит перечень 50 рабочих мест и серверов, однако спецификации отдельных компонентов частично неразборчивы. Поэтому ниже приведены читаемые сведения и порядок актуализации реестра. В таблицах перечислены рабочие места с заменой или вопросом по состоянию.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b/>
              </w:rPr>
              <w:t>Рабочее место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b/>
              </w:rPr>
              <w:t>Указанная конфигурация (по читаемой части)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b/>
              </w:rPr>
              <w:t>Статус в исходной ведомости</w:t>
            </w:r>
          </w:p>
        </w:tc>
      </w:tr>
      <w:tr>
        <w:tc>
          <w:tcPr>
            <w:tcW w:type="dxa" w:w="3312"/>
            <w:vAlign w:val="center"/>
          </w:tcPr>
          <w:p>
            <w:r>
              <w:t>Начальник бухгалтерии</w:t>
            </w:r>
          </w:p>
        </w:tc>
        <w:tc>
          <w:tcPr>
            <w:tcW w:type="dxa" w:w="3312"/>
            <w:vAlign w:val="center"/>
          </w:tcPr>
          <w:p>
            <w:r>
              <w:t>Intel Pentium IV 1500 MHz; 512 MB RAM</w:t>
            </w:r>
          </w:p>
        </w:tc>
        <w:tc>
          <w:tcPr>
            <w:tcW w:type="dxa" w:w="3312"/>
            <w:vAlign w:val="center"/>
          </w:tcPr>
          <w:p>
            <w:r>
              <w:t>Замена</w:t>
            </w:r>
          </w:p>
        </w:tc>
      </w:tr>
      <w:tr>
        <w:tc>
          <w:tcPr>
            <w:tcW w:type="dxa" w:w="3312"/>
            <w:vAlign w:val="center"/>
          </w:tcPr>
          <w:p>
            <w:r>
              <w:t>Бухгалтерия (касса)</w:t>
            </w:r>
          </w:p>
        </w:tc>
        <w:tc>
          <w:tcPr>
            <w:tcW w:type="dxa" w:w="3312"/>
            <w:vAlign w:val="center"/>
          </w:tcPr>
          <w:p>
            <w:r>
              <w:t>Intel Pentium IV 1500 MHz; 512 MB RAM</w:t>
            </w:r>
          </w:p>
        </w:tc>
        <w:tc>
          <w:tcPr>
            <w:tcW w:type="dxa" w:w="3312"/>
            <w:vAlign w:val="center"/>
          </w:tcPr>
          <w:p>
            <w:r>
              <w:t>Замена</w:t>
            </w:r>
          </w:p>
        </w:tc>
      </w:tr>
      <w:tr>
        <w:tc>
          <w:tcPr>
            <w:tcW w:type="dxa" w:w="3312"/>
            <w:vAlign w:val="center"/>
          </w:tcPr>
          <w:p>
            <w:r>
              <w:t>Бухгалтерия (материалы)</w:t>
            </w:r>
          </w:p>
        </w:tc>
        <w:tc>
          <w:tcPr>
            <w:tcW w:type="dxa" w:w="3312"/>
            <w:vAlign w:val="center"/>
          </w:tcPr>
          <w:p>
            <w:r>
              <w:t>Intel Pentium IV 1500 MHz; 512 MB RAM</w:t>
            </w:r>
          </w:p>
        </w:tc>
        <w:tc>
          <w:tcPr>
            <w:tcW w:type="dxa" w:w="3312"/>
            <w:vAlign w:val="center"/>
          </w:tcPr>
          <w:p>
            <w:r>
              <w:t>Замена</w:t>
            </w:r>
          </w:p>
        </w:tc>
      </w:tr>
      <w:tr>
        <w:tc>
          <w:tcPr>
            <w:tcW w:type="dxa" w:w="3312"/>
            <w:vAlign w:val="center"/>
          </w:tcPr>
          <w:p>
            <w:r>
              <w:t>Бухгалтерия (МОЛ)</w:t>
            </w:r>
          </w:p>
        </w:tc>
        <w:tc>
          <w:tcPr>
            <w:tcW w:type="dxa" w:w="3312"/>
            <w:vAlign w:val="center"/>
          </w:tcPr>
          <w:p>
            <w:r>
              <w:t>Intel Celeron 633 MHz; 64 MB RAM</w:t>
            </w:r>
          </w:p>
        </w:tc>
        <w:tc>
          <w:tcPr>
            <w:tcW w:type="dxa" w:w="3312"/>
            <w:vAlign w:val="center"/>
          </w:tcPr>
          <w:p>
            <w:r>
              <w:t>Замена</w:t>
            </w:r>
          </w:p>
        </w:tc>
      </w:tr>
      <w:tr>
        <w:tc>
          <w:tcPr>
            <w:tcW w:type="dxa" w:w="3312"/>
            <w:vAlign w:val="center"/>
          </w:tcPr>
          <w:p>
            <w:r>
              <w:t>Бухгалтерия (основные средства)</w:t>
            </w:r>
          </w:p>
        </w:tc>
        <w:tc>
          <w:tcPr>
            <w:tcW w:type="dxa" w:w="3312"/>
            <w:vAlign w:val="center"/>
          </w:tcPr>
          <w:p>
            <w:r>
              <w:t>Intel Pentium 133 MHz; 32 MB RAM</w:t>
            </w:r>
          </w:p>
        </w:tc>
        <w:tc>
          <w:tcPr>
            <w:tcW w:type="dxa" w:w="3312"/>
            <w:vAlign w:val="center"/>
          </w:tcPr>
          <w:p>
            <w:r>
              <w:t>Замена</w:t>
            </w:r>
          </w:p>
        </w:tc>
      </w:tr>
      <w:tr>
        <w:tc>
          <w:tcPr>
            <w:tcW w:type="dxa" w:w="3312"/>
            <w:vAlign w:val="center"/>
          </w:tcPr>
          <w:p>
            <w:r>
              <w:t>Склад</w:t>
            </w:r>
          </w:p>
        </w:tc>
        <w:tc>
          <w:tcPr>
            <w:tcW w:type="dxa" w:w="3312"/>
            <w:vAlign w:val="center"/>
          </w:tcPr>
          <w:p>
            <w:r>
              <w:t>Intel Pentium IV 1700 MHz; 256 MB RAM</w:t>
            </w:r>
          </w:p>
        </w:tc>
        <w:tc>
          <w:tcPr>
            <w:tcW w:type="dxa" w:w="3312"/>
            <w:vAlign w:val="center"/>
          </w:tcPr>
          <w:p>
            <w:r>
              <w:t>Замена</w:t>
            </w:r>
          </w:p>
        </w:tc>
      </w:tr>
      <w:tr>
        <w:tc>
          <w:tcPr>
            <w:tcW w:type="dxa" w:w="3312"/>
            <w:vAlign w:val="center"/>
          </w:tcPr>
          <w:p>
            <w:r>
              <w:t>Бухгалтерия / финансы</w:t>
            </w:r>
          </w:p>
        </w:tc>
        <w:tc>
          <w:tcPr>
            <w:tcW w:type="dxa" w:w="3312"/>
            <w:vAlign w:val="center"/>
          </w:tcPr>
          <w:p>
            <w:r>
              <w:t>Intel Celeron 466 MHz; 64 MB RAM</w:t>
            </w:r>
          </w:p>
        </w:tc>
        <w:tc>
          <w:tcPr>
            <w:tcW w:type="dxa" w:w="3312"/>
            <w:vAlign w:val="center"/>
          </w:tcPr>
          <w:p>
            <w:r>
              <w:t>Замена</w:t>
            </w:r>
          </w:p>
        </w:tc>
      </w:tr>
      <w:tr>
        <w:tc>
          <w:tcPr>
            <w:tcW w:type="dxa" w:w="3312"/>
            <w:vAlign w:val="center"/>
          </w:tcPr>
          <w:p>
            <w:r>
              <w:t>Бухгалтерия (зарплата)</w:t>
            </w:r>
          </w:p>
        </w:tc>
        <w:tc>
          <w:tcPr>
            <w:tcW w:type="dxa" w:w="3312"/>
            <w:vAlign w:val="center"/>
          </w:tcPr>
          <w:p>
            <w:r>
              <w:t>Intel Pentium IV 1700 MHz; 256 MB RAM</w:t>
            </w:r>
          </w:p>
        </w:tc>
        <w:tc>
          <w:tcPr>
            <w:tcW w:type="dxa" w:w="3312"/>
            <w:vAlign w:val="center"/>
          </w:tcPr>
          <w:p>
            <w:r>
              <w:t>Замена</w:t>
            </w:r>
          </w:p>
        </w:tc>
      </w:tr>
      <w:tr>
        <w:tc>
          <w:tcPr>
            <w:tcW w:type="dxa" w:w="3312"/>
            <w:vAlign w:val="center"/>
          </w:tcPr>
          <w:p>
            <w:r>
              <w:t>Коммерческий директор</w:t>
            </w:r>
          </w:p>
        </w:tc>
        <w:tc>
          <w:tcPr>
            <w:tcW w:type="dxa" w:w="3312"/>
            <w:vAlign w:val="center"/>
          </w:tcPr>
          <w:p>
            <w:r>
              <w:t>Intel Pentium IV 1400 MHz</w:t>
            </w:r>
          </w:p>
        </w:tc>
        <w:tc>
          <w:tcPr>
            <w:tcW w:type="dxa" w:w="3312"/>
            <w:vAlign w:val="center"/>
          </w:tcPr>
          <w:p>
            <w:r>
              <w:t>Состояние уточнить</w:t>
            </w:r>
          </w:p>
        </w:tc>
      </w:tr>
      <w:tr>
        <w:tc>
          <w:tcPr>
            <w:tcW w:type="dxa" w:w="3312"/>
            <w:vAlign w:val="center"/>
          </w:tcPr>
          <w:p>
            <w:r>
              <w:t>Начальник отдела сбыта</w:t>
            </w:r>
          </w:p>
        </w:tc>
        <w:tc>
          <w:tcPr>
            <w:tcW w:type="dxa" w:w="3312"/>
            <w:vAlign w:val="center"/>
          </w:tcPr>
          <w:p>
            <w:r>
              <w:t>Intel Pentium IV 1500 MHz</w:t>
            </w:r>
          </w:p>
        </w:tc>
        <w:tc>
          <w:tcPr>
            <w:tcW w:type="dxa" w:w="3312"/>
            <w:vAlign w:val="center"/>
          </w:tcPr>
          <w:p>
            <w:r>
              <w:t>Состояние уточнить</w:t>
            </w:r>
          </w:p>
        </w:tc>
      </w:tr>
      <w:tr>
        <w:tc>
          <w:tcPr>
            <w:tcW w:type="dxa" w:w="3312"/>
            <w:vAlign w:val="center"/>
          </w:tcPr>
          <w:p>
            <w:r>
              <w:t>Сервер для отдела</w:t>
            </w:r>
          </w:p>
        </w:tc>
        <w:tc>
          <w:tcPr>
            <w:tcW w:type="dxa" w:w="3312"/>
            <w:vAlign w:val="center"/>
          </w:tcPr>
          <w:p>
            <w:r>
              <w:t>Intel Pentium 4 2.0 GHz; 512 MB RAM</w:t>
            </w:r>
          </w:p>
        </w:tc>
        <w:tc>
          <w:tcPr>
            <w:tcW w:type="dxa" w:w="3312"/>
            <w:vAlign w:val="center"/>
          </w:tcPr>
          <w:p>
            <w:r>
              <w:t>Замена</w:t>
            </w:r>
          </w:p>
        </w:tc>
      </w:tr>
      <w:tr>
        <w:tc>
          <w:tcPr>
            <w:tcW w:type="dxa" w:w="3312"/>
            <w:vAlign w:val="center"/>
          </w:tcPr>
          <w:p>
            <w:r>
              <w:t>Финансовый директор</w:t>
            </w:r>
          </w:p>
        </w:tc>
        <w:tc>
          <w:tcPr>
            <w:tcW w:type="dxa" w:w="3312"/>
            <w:vAlign w:val="center"/>
          </w:tcPr>
          <w:p>
            <w:r>
              <w:t>Intel Pentium IV 1700 MHz; 256 MB RAM</w:t>
            </w:r>
          </w:p>
        </w:tc>
        <w:tc>
          <w:tcPr>
            <w:tcW w:type="dxa" w:w="3312"/>
            <w:vAlign w:val="center"/>
          </w:tcPr>
          <w:p>
            <w:r>
              <w:t>Состояние уточнить</w:t>
            </w:r>
          </w:p>
        </w:tc>
      </w:tr>
    </w:tbl>
    <w:p>
      <w:r>
        <w:t>Итоговое примечание к ведомости указывает: 5 компьютеров требуется заменить, еще 2 — под вопросом; устаревших мониторов — 5. В видимой части таблиц есть несколько пометок «Замена», поэтому окончательный перечень конкретных инвентарных номеров следует подтвердить очной инвентаризацией до закупки.</w:t>
      </w:r>
    </w:p>
    <w:p>
      <w:pPr>
        <w:pStyle w:val="Heading2"/>
      </w:pPr>
      <w:r>
        <w:t>Предлагаемая схема локальной сети</w:t>
      </w:r>
    </w:p>
    <w:p>
      <w:pPr>
        <w:pStyle w:val="ListBullet"/>
      </w:pPr>
      <w:r>
        <w:t>Центральный сервер размещается в защищенном помещении и обслуживает общую базу данных и учетные сервисы.</w:t>
      </w:r>
    </w:p>
    <w:p>
      <w:pPr>
        <w:pStyle w:val="ListBullet"/>
      </w:pPr>
      <w:r>
        <w:t>Рабочие места бухгалтерии, склада, отдела сбыта, производства и руководства подключаются к коммутаторам по кабельной сети; для удаленных площадок допустимо защищенное соединение.</w:t>
      </w:r>
    </w:p>
    <w:p>
      <w:pPr>
        <w:pStyle w:val="ListBullet"/>
      </w:pPr>
      <w:r>
        <w:t>В серверной предусматриваются резервное питание, контроль доступа и регулярное резервное копирование на отдельное хранилище.</w:t>
      </w:r>
    </w:p>
    <w:p>
      <w:pPr>
        <w:pStyle w:val="ListBullet"/>
      </w:pPr>
      <w:r>
        <w:t>Сегментация сети разделяет серверы, пользовательские рабочие места и оборудование лаборатории; доступ к учетным данным ограничивается ролями.</w:t>
      </w:r>
    </w:p>
    <w:p>
      <w:pPr>
        <w:pStyle w:val="ListBullet"/>
      </w:pPr>
      <w:r>
        <w:t>До закупки оборудования выполняются замеры нагрузки, инвентаризация портов и кабельных линий, проверка совместимости ПО и план восстановления после сбоя.</w:t>
      </w:r>
    </w:p>
    <w:p>
      <w:r>
        <w:t>Рекомендуемая архитектура: рабочие станции → коммутаторы подразделений → центральный коммутатор → сервер учетной системы и хранилище резервных копий. Интернет-доступ и удаленное подключение проходят через межсетевой экран.</w:t>
      </w:r>
    </w:p>
    <w:p>
      <w:pPr>
        <w:pStyle w:val="Heading1"/>
      </w:pPr>
      <w:r>
        <w:t>Практическая работа № 6. Отчет о предпроектном обследовании</w:t>
      </w:r>
    </w:p>
    <w:p>
      <w:r>
        <w:t>Отчет о предпроектном обследовании ООО «Фирма» для внедрения информационной системы (ИС)</w:t>
      </w:r>
    </w:p>
    <w:p>
      <w:pPr>
        <w:pStyle w:val="Heading2"/>
      </w:pPr>
      <w:r>
        <w:t>1. Цель и границы обследования</w:t>
      </w:r>
    </w:p>
    <w:p>
      <w:r>
        <w:t>Обследование охватывает производство, снабжение, склад, продажи, бухгалтерию, кадры и лабораторный контроль. Цель — установить текущие процессы, документооборот и уровень автоматизации, определить требования к учетным подсистемам и сформировать реалистичный план перехода.</w:t>
      </w:r>
    </w:p>
    <w:p>
      <w:pPr>
        <w:pStyle w:val="Heading2"/>
      </w:pPr>
      <w:r>
        <w:t>2. Краткая характеристика деятельности</w:t>
      </w:r>
    </w:p>
    <w:p>
      <w:r>
        <w:t>ООО «Фирма» в примере представляет молокоперерабатывающий комбинат. Основной цикл включает прием молока, выпуск цельномолочной, сыродельной и сухой продукции, контроль качества, складирование и сбыт. Удаленно работает цех мороженого; сырье принимают главный пункт и восемь молокоприемных пунктов. В работе участвуют руководство, производство, отдел заготовок, снабжение, сбыт, бухгалтерия, лаборатория и вспомогательные подразделения.</w:t>
      </w:r>
    </w:p>
    <w:p>
      <w:pPr>
        <w:pStyle w:val="Heading2"/>
      </w:pPr>
      <w:r>
        <w:t>3. Текущее состояние и выявленные потребности</w:t>
      </w:r>
    </w:p>
    <w:p>
      <w:pPr>
        <w:pStyle w:val="ListBullet"/>
      </w:pPr>
      <w:r>
        <w:t>Учетные сведения распределены между подразделениями; требуется единая нормативно-справочная информация и согласованные правила ввода.</w:t>
      </w:r>
    </w:p>
    <w:p>
      <w:pPr>
        <w:pStyle w:val="ListBullet"/>
      </w:pPr>
      <w:r>
        <w:t>При передаче документов между складом, производством и бухгалтерией возникают повторный ввод и риск расхождения остатков.</w:t>
      </w:r>
    </w:p>
    <w:p>
      <w:pPr>
        <w:pStyle w:val="ListBullet"/>
      </w:pPr>
      <w:r>
        <w:t>Необходим партионный учет готовой продукции с качественными показателями и сроками годности.</w:t>
      </w:r>
    </w:p>
    <w:p>
      <w:pPr>
        <w:pStyle w:val="ListBullet"/>
      </w:pPr>
      <w:r>
        <w:t>Для планирования выпуска и закупок нужны данные об остатках, заказах покупателей, нормах расхода и фактическом потреблении.</w:t>
      </w:r>
    </w:p>
    <w:p>
      <w:pPr>
        <w:pStyle w:val="ListBullet"/>
      </w:pPr>
      <w:r>
        <w:t>Финансовый контур должен связывать кассу, банк, взаиморасчеты, затраты и регламентированную отчетность.</w:t>
      </w:r>
    </w:p>
    <w:p>
      <w:pPr>
        <w:pStyle w:val="ListBullet"/>
      </w:pPr>
      <w:r>
        <w:t>Состояние части компьютеров устарело; перед внедрением следует утвердить состав замены, проверить серверную инфраструктуру, сеть и резервное копирование.</w:t>
      </w:r>
    </w:p>
    <w:p>
      <w:pPr>
        <w:pStyle w:val="Heading2"/>
      </w:pPr>
      <w:r>
        <w:t>4. Требования к ИС</w:t>
      </w:r>
    </w:p>
    <w:p>
      <w:pPr>
        <w:pStyle w:val="ListBullet"/>
      </w:pPr>
      <w:r>
        <w:t>Единая база и справочники, ролевой доступ, журнал изменений и регламент резервного копирования.</w:t>
      </w:r>
    </w:p>
    <w:p>
      <w:pPr>
        <w:pStyle w:val="ListBullet"/>
      </w:pPr>
      <w:r>
        <w:t>Поддержка закупок, складского учета, производства, качества, продаж, денежных средств, основных средств, кадров и отчетности.</w:t>
      </w:r>
    </w:p>
    <w:p>
      <w:pPr>
        <w:pStyle w:val="ListBullet"/>
      </w:pPr>
      <w:r>
        <w:t>Сквозная прослеживаемость сырья и выпуска по партиям, складам и документам.</w:t>
      </w:r>
    </w:p>
    <w:p>
      <w:pPr>
        <w:pStyle w:val="ListBullet"/>
      </w:pPr>
      <w:r>
        <w:t>Формирование бухгалтерских и управленческих отчетов с детализацией по подразделениям и периодам.</w:t>
      </w:r>
    </w:p>
    <w:p>
      <w:pPr>
        <w:pStyle w:val="ListBullet"/>
      </w:pPr>
      <w:r>
        <w:t>Обмен данными между отдельной конфигурацией зарплаты и основной учетной системой, если кадровый расчет будет выделен отдельно.</w:t>
      </w:r>
    </w:p>
    <w:p>
      <w:pPr>
        <w:pStyle w:val="Heading2"/>
      </w:pPr>
      <w:r>
        <w:t>5. Этапы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b/>
              </w:rPr>
              <w:t>Содержание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b/>
              </w:rPr>
              <w:t>Контрольный результат</w:t>
            </w:r>
          </w:p>
        </w:tc>
      </w:tr>
      <w:tr>
        <w:tc>
          <w:tcPr>
            <w:tcW w:type="dxa" w:w="3312"/>
            <w:vAlign w:val="center"/>
          </w:tcPr>
          <w:p>
            <w:r>
              <w:t>1. Обследование</w:t>
            </w:r>
          </w:p>
        </w:tc>
        <w:tc>
          <w:tcPr>
            <w:tcW w:type="dxa" w:w="3312"/>
            <w:vAlign w:val="center"/>
          </w:tcPr>
          <w:p>
            <w:r>
              <w:t>Интервью, анализ документов и процессов, инвентаризация техники</w:t>
            </w:r>
          </w:p>
        </w:tc>
        <w:tc>
          <w:tcPr>
            <w:tcW w:type="dxa" w:w="3312"/>
            <w:vAlign w:val="center"/>
          </w:tcPr>
          <w:p>
            <w:r>
              <w:t>Согласованные требования и карта процессов</w:t>
            </w:r>
          </w:p>
        </w:tc>
      </w:tr>
      <w:tr>
        <w:tc>
          <w:tcPr>
            <w:tcW w:type="dxa" w:w="3312"/>
            <w:vAlign w:val="center"/>
          </w:tcPr>
          <w:p>
            <w:r>
              <w:t>2. Техническое задание</w:t>
            </w:r>
          </w:p>
        </w:tc>
        <w:tc>
          <w:tcPr>
            <w:tcW w:type="dxa" w:w="3312"/>
            <w:vAlign w:val="center"/>
          </w:tcPr>
          <w:p>
            <w:r>
              <w:t>Функции, роли, справочники, интеграции, критерии приемки</w:t>
            </w:r>
          </w:p>
        </w:tc>
        <w:tc>
          <w:tcPr>
            <w:tcW w:type="dxa" w:w="3312"/>
            <w:vAlign w:val="center"/>
          </w:tcPr>
          <w:p>
            <w:r>
              <w:t>Утвержденное ТЗ</w:t>
            </w:r>
          </w:p>
        </w:tc>
      </w:tr>
      <w:tr>
        <w:tc>
          <w:tcPr>
            <w:tcW w:type="dxa" w:w="3312"/>
            <w:vAlign w:val="center"/>
          </w:tcPr>
          <w:p>
            <w:r>
              <w:t>3. Подготовка инфраструктуры</w:t>
            </w:r>
          </w:p>
        </w:tc>
        <w:tc>
          <w:tcPr>
            <w:tcW w:type="dxa" w:w="3312"/>
            <w:vAlign w:val="center"/>
          </w:tcPr>
          <w:p>
            <w:r>
              <w:t>Сеть, сервер, рабочие места, резервное копирование</w:t>
            </w:r>
          </w:p>
        </w:tc>
        <w:tc>
          <w:tcPr>
            <w:tcW w:type="dxa" w:w="3312"/>
            <w:vAlign w:val="center"/>
          </w:tcPr>
          <w:p>
            <w:r>
              <w:t>Готовая тестовая среда</w:t>
            </w:r>
          </w:p>
        </w:tc>
      </w:tr>
      <w:tr>
        <w:tc>
          <w:tcPr>
            <w:tcW w:type="dxa" w:w="3312"/>
            <w:vAlign w:val="center"/>
          </w:tcPr>
          <w:p>
            <w:r>
              <w:t>4. Настройка и перенос данных</w:t>
            </w:r>
          </w:p>
        </w:tc>
        <w:tc>
          <w:tcPr>
            <w:tcW w:type="dxa" w:w="3312"/>
            <w:vAlign w:val="center"/>
          </w:tcPr>
          <w:p>
            <w:r>
              <w:t>Настройка подсистем, очистка и загрузка справочников/остатков</w:t>
            </w:r>
          </w:p>
        </w:tc>
        <w:tc>
          <w:tcPr>
            <w:tcW w:type="dxa" w:w="3312"/>
            <w:vAlign w:val="center"/>
          </w:tcPr>
          <w:p>
            <w:r>
              <w:t>Проверенные данные и протокол сверки</w:t>
            </w:r>
          </w:p>
        </w:tc>
      </w:tr>
      <w:tr>
        <w:tc>
          <w:tcPr>
            <w:tcW w:type="dxa" w:w="3312"/>
            <w:vAlign w:val="center"/>
          </w:tcPr>
          <w:p>
            <w:r>
              <w:t>5. Пилотная эксплуатация</w:t>
            </w:r>
          </w:p>
        </w:tc>
        <w:tc>
          <w:tcPr>
            <w:tcW w:type="dxa" w:w="3312"/>
            <w:vAlign w:val="center"/>
          </w:tcPr>
          <w:p>
            <w:r>
              <w:t>Обучение, тестирование процессов на выбранном участке</w:t>
            </w:r>
          </w:p>
        </w:tc>
        <w:tc>
          <w:tcPr>
            <w:tcW w:type="dxa" w:w="3312"/>
            <w:vAlign w:val="center"/>
          </w:tcPr>
          <w:p>
            <w:r>
              <w:t>Протокол испытаний и перечень исправлений</w:t>
            </w:r>
          </w:p>
        </w:tc>
      </w:tr>
      <w:tr>
        <w:tc>
          <w:tcPr>
            <w:tcW w:type="dxa" w:w="3312"/>
            <w:vAlign w:val="center"/>
          </w:tcPr>
          <w:p>
            <w:r>
              <w:t>6. Промышленный запуск</w:t>
            </w:r>
          </w:p>
        </w:tc>
        <w:tc>
          <w:tcPr>
            <w:tcW w:type="dxa" w:w="3312"/>
            <w:vAlign w:val="center"/>
          </w:tcPr>
          <w:p>
            <w:r>
              <w:t>Поэтапное подключение подразделений и поддержка пользователей</w:t>
            </w:r>
          </w:p>
        </w:tc>
        <w:tc>
          <w:tcPr>
            <w:tcW w:type="dxa" w:w="3312"/>
            <w:vAlign w:val="center"/>
          </w:tcPr>
          <w:p>
            <w:r>
              <w:t>Подписанная приемка и регламент сопровождения</w:t>
            </w:r>
          </w:p>
        </w:tc>
      </w:tr>
    </w:tbl>
    <w:p>
      <w:r>
        <w:t>Рекомендуемая очередность: сначала справочники, закупки, склад и денежные операции; затем производство и продажи; далее качество, бюджетирование и расширенная управленческая отчетность. Зарплата и кадры могут настраиваться параллельно с основным контуром, если заранее согласован обмен данными.</w:t>
      </w:r>
    </w:p>
    <w:p>
      <w:pPr>
        <w:pStyle w:val="Heading2"/>
      </w:pPr>
      <w:r>
        <w:t>6. Ожидаемый эффект и риски</w:t>
      </w:r>
    </w:p>
    <w:p>
      <w:r>
        <w:t>Автоматизация должна сократить повторный ввод и время подготовки отчетности, повысить точность остатков и прослеживаемость партий, улучшить планирование закупок и выпуска. Экономический эффект следует оценивать после фиксации базовых показателей: трудозатрат на обработку документов, точности инвентаризации, длительности закрытия периода, уровня запасов и потерь.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b/>
              </w:rPr>
              <w:t>Мера снижения</w:t>
            </w:r>
          </w:p>
        </w:tc>
      </w:tr>
      <w:tr>
        <w:tc>
          <w:tcPr>
            <w:tcW w:type="dxa" w:w="4968"/>
            <w:vAlign w:val="center"/>
          </w:tcPr>
          <w:p>
            <w:r>
              <w:t>Низкое качество исходных данных</w:t>
            </w:r>
          </w:p>
        </w:tc>
        <w:tc>
          <w:tcPr>
            <w:tcW w:type="dxa" w:w="4968"/>
            <w:vAlign w:val="center"/>
          </w:tcPr>
          <w:p>
            <w:r>
              <w:t>Очистка справочников, сверка остатков, ответственные владельцы данных</w:t>
            </w:r>
          </w:p>
        </w:tc>
      </w:tr>
      <w:tr>
        <w:tc>
          <w:tcPr>
            <w:tcW w:type="dxa" w:w="4968"/>
            <w:vAlign w:val="center"/>
          </w:tcPr>
          <w:p>
            <w:r>
              <w:t>Сопротивление пользователей</w:t>
            </w:r>
          </w:p>
        </w:tc>
        <w:tc>
          <w:tcPr>
            <w:tcW w:type="dxa" w:w="4968"/>
            <w:vAlign w:val="center"/>
          </w:tcPr>
          <w:p>
            <w:r>
              <w:t>Обучение по ролям, пилот, инструкции и канал поддержки</w:t>
            </w:r>
          </w:p>
        </w:tc>
      </w:tr>
      <w:tr>
        <w:tc>
          <w:tcPr>
            <w:tcW w:type="dxa" w:w="4968"/>
            <w:vAlign w:val="center"/>
          </w:tcPr>
          <w:p>
            <w:r>
              <w:t>Сбой при переходе</w:t>
            </w:r>
          </w:p>
        </w:tc>
        <w:tc>
          <w:tcPr>
            <w:tcW w:type="dxa" w:w="4968"/>
            <w:vAlign w:val="center"/>
          </w:tcPr>
          <w:p>
            <w:r>
              <w:t>Параллельная проверка ключевых отчетов, резервные копии, план отката</w:t>
            </w:r>
          </w:p>
        </w:tc>
      </w:tr>
      <w:tr>
        <w:tc>
          <w:tcPr>
            <w:tcW w:type="dxa" w:w="4968"/>
            <w:vAlign w:val="center"/>
          </w:tcPr>
          <w:p>
            <w:r>
              <w:t>Рост объема работ</w:t>
            </w:r>
          </w:p>
        </w:tc>
        <w:tc>
          <w:tcPr>
            <w:tcW w:type="dxa" w:w="4968"/>
            <w:vAlign w:val="center"/>
          </w:tcPr>
          <w:p>
            <w:r>
              <w:t>Фиксация границ этапа, приоритетов и процедуры согласования изменений</w:t>
            </w:r>
          </w:p>
        </w:tc>
      </w:tr>
    </w:tbl>
    <w:p>
      <w:pPr>
        <w:pStyle w:val="Heading2"/>
      </w:pPr>
      <w:r>
        <w:t>Вывод</w:t>
      </w:r>
    </w:p>
    <w:p>
      <w:r>
        <w:t>Предпроектное обследование подтверждает целесообразность внедрения интегрированной ИС поэтапно. До начала настройки руководство должно подтвердить учетную политику, владельцев процессов, требования к отчетам и фактическую инвентаризацию оборудования. План и сроки являются предварительными и уточняются после обследования и утверждения ТЗ.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ООО «Фирма» | Практические работы 2–6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