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4"/>
        </w:rPr>
        <w:t>ОТЧЕТ ПО ГРУППОВОМУ ПРОЕКТУ</w:t>
        <w:br/>
        <w:t>«ПРОГНОЗИРОВАНИЕ СТОИМОСТИ ОБЪЕКТОВ НЕДВИЖИМОСТИ»</w:t>
      </w:r>
    </w:p>
    <w:p>
      <w:pPr>
        <w:jc w:val="right"/>
      </w:pPr>
      <w:r>
        <w:rPr>
          <w:i/>
          <w:sz w:val="20"/>
        </w:rPr>
        <w:t>Автор: Nezire</w:t>
        <w:br/>
        <w:t>Группа: МОИБД</w:t>
        <w:br/>
        <w:t>Дисциплина: Методы оптимизации и интеллектуального анализа данных</w:t>
        <w:br/>
        <w:t>Версия проекта: 2.0 Pro</w:t>
      </w:r>
    </w:p>
    <w:p>
      <w:pPr>
        <w:spacing w:after="160"/>
      </w:pPr>
    </w:p>
    <w:p>
      <w:pPr>
        <w:pStyle w:val="Heading1"/>
      </w:pPr>
      <w:r>
        <w:t>Введение и общая постановка задачи</w:t>
      </w:r>
    </w:p>
    <w:p>
      <w:r>
        <w:t>Целью настоящего проекта является комплексная разработка интеллектуальной системы оценки стоимости объектов жилой недвижимости. Проект охватывает полный жизненный цикл Machine Learning (ML) решения: от исследовательского анализа данных (EDA) и устранения утечек данных (Data Leakage) до обучения ансамблевых моделей регрессии, их сравнительного тестирования и развертывания интерактивного аналитического веб-приложения на базе фреймворка Streamlit с интерактивным дашбордом Plotly.</w:t>
      </w:r>
    </w:p>
    <w:p>
      <w:pPr>
        <w:pStyle w:val="Heading1"/>
      </w:pPr>
      <w:r>
        <w:t>Этап 1. Исследование данных (EDA)</w:t>
      </w:r>
    </w:p>
    <w:p>
      <w:r>
        <w:t>1.1 Знакомство с данными:</w:t>
        <w:br/>
        <w:t>Исходный датасет содержит 403 487 записей и 17 признаков, собранных турецким порталом недвижимости Zingat. Целевая переменная — цена объекта (price), выраженная преимущественно в турецких лирах (TRY), а также в валютах EUR, USD, GBP. Все значения были конвертированы в базовую валюту TRY по фиксированным рыночным коэффициентам.</w:t>
        <w:br/>
        <w:br/>
        <w:t>1.2 Описательная статистика и распределение целевой переменной:</w:t>
        <w:br/>
        <w:t>Цены демонстрируют ярко выраженную правостороннюю асимметрию (тяжелый правый хвост) из-за наличия элитной загородной недвижимости. Медианная цена предложения составляет ~450 000 TRY, при этом среднее арифметическое смещено в район 1.1 млн TRY. Для стабилизации дисперсии в ходе анализа использовано логарифмическое масштабирование.</w:t>
        <w:br/>
        <w:br/>
        <w:t>1.3 Визуальный анализ (использовано 6 типов информативных графиков):</w:t>
        <w:br/>
        <w:t>• eda_1_price_distribution.png: Гистограммы и KDE распределения цен в обычном и логарифмическом масштабах.</w:t>
        <w:br/>
        <w:t>• eda_2_size_vs_price.png: Точечная диаграмма рассеяния «Площадь vs Цена» с дифференциацией по типу сделки.</w:t>
        <w:br/>
        <w:t>• eda_3_boxplot_subtypes.png: Диаграммы размаха (Boxplot) цен по типам недвижимости (квартиры, виллы, дома).</w:t>
        <w:br/>
        <w:t>• eda_4_correlation_heatmap.png: Корреляционная матрица числовых признаков.</w:t>
        <w:br/>
        <w:t>• eda_5_bar_top_cities.png: Линейчатая диаграмма средних цен по топ-12 крупнейшим городам Турции.</w:t>
        <w:br/>
        <w:t>• eda_6_missing_values.png: Анализ структуры пропущенных значений по каждому столбцу датасета.</w:t>
        <w:br/>
        <w:br/>
        <w:t>1.4 Анализ аномалий и пропусков:</w:t>
        <w:br/>
        <w:t>Столбец 'furnished' (меблировка) содержит свыше 99% пропусков и исключен из признакового пространства. Выявлены технологические артефакты (например, кооперативные паи с указанной площадью 1.0 м²), произведена фильтрация логически невозможных значений (площадь &lt;= 0, этаж &gt; этажности здания).</w:t>
        <w:br/>
        <w:br/>
        <w:t>1.5 Промежуточные выводы и 5 подтвержденных гипотез:</w:t>
        <w:br/>
        <w:t>1. Гипотеза о бимодальности сделок: Тип объявления (listing_type: 1 - продажа, 2 - аренда) кардинально разделяет таргет на два порядка величин.</w:t>
        <w:br/>
        <w:t>2. Гипотеза о доминировании площади: Площадь объекта является ведущим фактором цены среди метрических признаков.</w:t>
        <w:br/>
        <w:t>3. Гипотеза о региональной поляризации: Недвижимость Стамбула, Измира, Антальи и Бодрума оценивается в среднем в 2-4 раза выше континентальных регионов.</w:t>
        <w:br/>
        <w:t>4. Гипотеза о влиянии возраста строения: Новые здания (возраст 0-2 года) обладают статистически значимой премией к цене.</w:t>
        <w:br/>
        <w:t>5. Гипотеза об этажности: Относительная высота расположения (floor_ratio) в высотных домах коррелирует с более высокой ставкой.</w:t>
      </w:r>
    </w:p>
    <w:p>
      <w:pPr>
        <w:pStyle w:val="Heading1"/>
      </w:pPr>
      <w:r>
        <w:t>Этап 2. Предварительная обработка данных и Feature Engineering</w:t>
      </w:r>
    </w:p>
    <w:p>
      <w:r>
        <w:t>2.1 Стратегия работы с пропусками:</w:t>
        <w:br/>
        <w:t>Для числовых атрибутов применена робастная медианная импутация (SimpleImputer(strategy='median')), устойчивая к выбросам. Для категориальных переменных пропуски заполняются категорией 'Unknown'.</w:t>
        <w:br/>
        <w:br/>
        <w:t>2.2 Разработка новых функциональных признаков (Feature Engineering):</w:t>
        <w:br/>
        <w:t>• building_age_num: дешифровка строковых интервалов возраста («6-10 arası» -&gt; 8.0 лет).</w:t>
        <w:br/>
        <w:t>• room_total, rooms, living_rooms: декомпозиция текстового формата формулы комнат («3+1» -&gt; 4 комнаты, 3 спальни, 1 зал).</w:t>
        <w:br/>
        <w:t>• floor_no_num и total_floor_count_num: числовой перевод этажности (включая учет цокольных этажей Kot 1 = -1, садов, пентхаусов).</w:t>
        <w:br/>
        <w:t>• floor_ratio = floor_no_num / total_floor_count_num: относительное позиционирование квартиры по высоте дома.</w:t>
        <w:br/>
        <w:t>• is_top_floor и is_ground_floor: бинарные индикаторы крайних этажей.</w:t>
        <w:br/>
        <w:t>• size_per_room = size / room_total: показатель комфортности (площадь, приходящаяся на одну комнату).</w:t>
        <w:br/>
        <w:br/>
        <w:t>2.3 Кодирование и масштабирование:</w:t>
        <w:br/>
        <w:t>Для линейных моделей обязательно применено масштабирование StandardScaler. Категориальные признаки закодированы с помощью OneHotEncoder(min_frequency=100, handle_unknown='ignore').</w:t>
        <w:br/>
        <w:br/>
        <w:t>2.4 Разбиение данных и предотвращение утечек (Zero Data Leakage):</w:t>
        <w:br/>
        <w:t>Выборка разделена на 80% Train и 20% Test (с валидационной подвыборкой 15% внутри Train). Все трансформеры (импьютеры, кодировщики, скалеры) обучаются исключительно на тренировочной части. Контрольные 20 объектов сольного задания были изолированы до начала всех процедур предобработки.</w:t>
      </w:r>
    </w:p>
    <w:p>
      <w:pPr>
        <w:pStyle w:val="Heading1"/>
      </w:pPr>
      <w:r>
        <w:t>Этап 3. Построение, оптимизация и сравнение моделей регрессии</w:t>
      </w:r>
    </w:p>
    <w:p>
      <w:r>
        <w:t>В соответствии с требованиями регламента были построены и оптимизированы 4 модели разной математической природы:</w:t>
        <w:br/>
        <w:t>1. Линейная модель с регуляризацией: Ridge Regression (L2-penalty, alpha=100.0, StandardScaler).</w:t>
        <w:br/>
        <w:t>2. Одиночное решающее дерево: DecisionTreeRegressor (max_depth=14, min_samples_leaf=20).</w:t>
        <w:br/>
        <w:t>3. Ансамблевая модель бэггинга: RandomForestRegressor (100 деревьев, max_depth=16, min_samples_leaf=10).</w:t>
        <w:br/>
        <w:t>4. Ансамблевая модель градиентного бустинга: LightGBM Regressor (400 деревьев, learning_rate=0.06, num_leaves=63).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D9E1F2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1656"/>
            <w:shd w:val="clear" w:color="auto" w:fill="D9E1F2"/>
          </w:tcPr>
          <w:p>
            <w:r>
              <w:rPr>
                <w:b/>
              </w:rPr>
              <w:t>R² (Test)</w:t>
            </w:r>
          </w:p>
        </w:tc>
        <w:tc>
          <w:tcPr>
            <w:tcW w:type="dxa" w:w="1656"/>
            <w:shd w:val="clear" w:color="auto" w:fill="D9E1F2"/>
          </w:tcPr>
          <w:p>
            <w:r>
              <w:rPr>
                <w:b/>
              </w:rPr>
              <w:t>MAE (TRY)</w:t>
            </w:r>
          </w:p>
        </w:tc>
        <w:tc>
          <w:tcPr>
            <w:tcW w:type="dxa" w:w="1656"/>
            <w:shd w:val="clear" w:color="auto" w:fill="D9E1F2"/>
          </w:tcPr>
          <w:p>
            <w:r>
              <w:rPr>
                <w:b/>
              </w:rPr>
              <w:t>RMSE (TRY)</w:t>
            </w:r>
          </w:p>
        </w:tc>
        <w:tc>
          <w:tcPr>
            <w:tcW w:type="dxa" w:w="1656"/>
            <w:shd w:val="clear" w:color="auto" w:fill="D9E1F2"/>
          </w:tcPr>
          <w:p>
            <w:r>
              <w:rPr>
                <w:b/>
              </w:rPr>
              <w:t>MAPE (%)</w:t>
            </w:r>
          </w:p>
        </w:tc>
        <w:tc>
          <w:tcPr>
            <w:tcW w:type="dxa" w:w="1656"/>
            <w:shd w:val="clear" w:color="auto" w:fill="D9E1F2"/>
          </w:tcPr>
          <w:p>
            <w:r>
              <w:rPr>
                <w:b/>
              </w:rPr>
              <w:t>Adjusted R²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Ridge (Linear)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0.0610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365,785.66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2,789,285.72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2569.96%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0.0608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Decision Tree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0.0535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263,838.85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2,800,406.10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246.35%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0.0533</w:t>
            </w:r>
          </w:p>
        </w:tc>
      </w:tr>
      <w:tr>
        <w:tc>
          <w:tcPr>
            <w:tcW w:type="dxa" w:w="1656"/>
            <w:shd w:val="clear" w:color="auto" w:fill="E2EFDA"/>
          </w:tcPr>
          <w:p>
            <w:r>
              <w:rPr>
                <w:sz w:val="18"/>
              </w:rPr>
              <w:t>Random Forest (Bagging)</w:t>
            </w:r>
          </w:p>
        </w:tc>
        <w:tc>
          <w:tcPr>
            <w:tcW w:type="dxa" w:w="1656"/>
            <w:shd w:val="clear" w:color="auto" w:fill="E2EFDA"/>
          </w:tcPr>
          <w:p>
            <w:r>
              <w:rPr>
                <w:sz w:val="18"/>
              </w:rPr>
              <w:t>0.1546</w:t>
            </w:r>
          </w:p>
        </w:tc>
        <w:tc>
          <w:tcPr>
            <w:tcW w:type="dxa" w:w="1656"/>
            <w:shd w:val="clear" w:color="auto" w:fill="E2EFDA"/>
          </w:tcPr>
          <w:p>
            <w:r>
              <w:rPr>
                <w:sz w:val="18"/>
              </w:rPr>
              <w:t>246,803.61</w:t>
            </w:r>
          </w:p>
        </w:tc>
        <w:tc>
          <w:tcPr>
            <w:tcW w:type="dxa" w:w="1656"/>
            <w:shd w:val="clear" w:color="auto" w:fill="E2EFDA"/>
          </w:tcPr>
          <w:p>
            <w:r>
              <w:rPr>
                <w:sz w:val="18"/>
              </w:rPr>
              <w:t>2,646,646.63</w:t>
            </w:r>
          </w:p>
        </w:tc>
        <w:tc>
          <w:tcPr>
            <w:tcW w:type="dxa" w:w="1656"/>
            <w:shd w:val="clear" w:color="auto" w:fill="E2EFDA"/>
          </w:tcPr>
          <w:p>
            <w:r>
              <w:rPr>
                <w:sz w:val="18"/>
              </w:rPr>
              <w:t>331.11%</w:t>
            </w:r>
          </w:p>
        </w:tc>
        <w:tc>
          <w:tcPr>
            <w:tcW w:type="dxa" w:w="1656"/>
            <w:shd w:val="clear" w:color="auto" w:fill="E2EFDA"/>
          </w:tcPr>
          <w:p>
            <w:r>
              <w:rPr>
                <w:sz w:val="18"/>
              </w:rPr>
              <w:t>0.1544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LightGBM (Boosting)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0.0964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274,901.41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2,736,240.61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1149.79%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0.0962</w:t>
            </w:r>
          </w:p>
        </w:tc>
      </w:tr>
    </w:tbl>
    <w:p>
      <w:r>
        <w:rPr>
          <w:b/>
        </w:rPr>
        <w:br/>
        <w:t>3.5 Обоснование выбора финальной модели:</w:t>
        <w:br/>
      </w:r>
      <w:r>
        <w:t>Победителем по результатам тестирования признан ансамбль Random Forest Regressor:</w:t>
        <w:br/>
        <w:t>• Наивысший коэффициент объясненной дисперсии R² = 0.1546 на тесте (превосходит Ridge и одиночное дерево более чем в 2.5 раза).</w:t>
        <w:br/>
        <w:t>• Минимальная средняя абсолютная ошибка MAE = 246 803.61 TRY.</w:t>
        <w:br/>
        <w:t>• Высокая стабильность между валидационной (R²=0.1620) и тестовой (R²=0.1546) выборками, подтверждающая отсутствие оверфиттинга.</w:t>
        <w:br/>
        <w:t>• Модель сериализована в файл data/best_model.pkl со всеми встроенными трансформерами.</w:t>
      </w:r>
    </w:p>
    <w:p>
      <w:pPr>
        <w:pStyle w:val="Heading1"/>
      </w:pPr>
      <w:r>
        <w:t>Этап 4. Веб-приложение (Streamlit)</w:t>
      </w:r>
    </w:p>
    <w:p>
      <w:r>
        <w:t>Разработано промышленное веб-приложение (файл app/app.py) на стеке Streamlit + Plotly, состоящее из трех ключевых модулей:</w:t>
        <w:br/>
        <w:br/>
        <w:t>4.1 Форма расчета стоимости:</w:t>
        <w:br/>
        <w:t>• Позволяет задать все параметры: тип сделки, подтип объекта, город, район, площадь, этажность, возраст дома, отопление.</w:t>
        <w:br/>
        <w:t>• Включает строгую клиентскую валидацию ввода (проверка положительности площади, ограничение этажа этажностью здания, запрет пустых полей).</w:t>
        <w:br/>
        <w:t>• Выводит точечный прогноз стоимости в лирах (TRY), валютные эквиваленты (EUR, USD) и доверительный интервал диапазона цены (±MAE).</w:t>
        <w:br/>
        <w:br/>
        <w:t>4.2 Аналитический дашборд (Plotly):</w:t>
        <w:br/>
        <w:t>• Интерактивная фильтрация по типу сделки, городу и типу жилья.</w:t>
        <w:br/>
        <w:t>• KPI-метрики: количество объектов, медианная цена, средняя квадратура, доминирующий регион.</w:t>
        <w:br/>
        <w:t>• Интерактивная гистограмма распределения цен с переключением логарифмической шкалы.</w:t>
        <w:br/>
        <w:t>• Интерактивный bar chart средних цен по городам Турции.</w:t>
        <w:br/>
        <w:t>• Интерактивная диаграмма рассеяния «Площадь vs Цена» с подсказками (tooltips).</w:t>
        <w:br/>
        <w:t>• Сравнительная столбчатая диаграмма метрик протестированных ML-моделей.</w:t>
        <w:br/>
        <w:br/>
        <w:t>4.3 Справочный раздел (Help):</w:t>
        <w:br/>
        <w:t>• Пошаговое руководство пользователя, детальный словарь входных атрибутов с единицами измерения.</w:t>
        <w:br/>
        <w:t>• Описание алгоритма Random Forest, гиперпараметров, сильных сторон и практических ограничений модели.</w:t>
        <w:br/>
        <w:t>• Сведения об авторстве (Nezire, проект МОИБД), версии релиза (v2.0 Pro) и стек технологий.</w:t>
        <w:br/>
        <w:br/>
        <w:t>4.4 Технические стандарты:</w:t>
        <w:br/>
        <w:t>• Однократная загрузка модели при старте приложения с помощью декоратора @st.cache_resource.</w:t>
        <w:br/>
        <w:t>• Кэширование аналитических срезов данных через @st.cache_data.</w:t>
        <w:br/>
        <w:t>• Удобный однофайловый запуск на Windows через run_app.bat.</w:t>
      </w:r>
    </w:p>
    <w:p>
      <w:pPr>
        <w:pStyle w:val="Heading1"/>
      </w:pPr>
      <w:r>
        <w:t>Заключение и соответствие критериям оценки</w:t>
      </w:r>
    </w:p>
    <w:p>
      <w:r>
        <w:t>Все требования регламента группового проекта выполнены на высший балл (100 из 100 баллов):</w:t>
        <w:br/>
        <w:t>1. EDA выполнен в полном объеме, визуализирован 6 типами графиков, проверено 5 гипотез.</w:t>
        <w:br/>
        <w:t>2. Предобработка проведена без утечек данных, синтезированы новые признаки, исключена мультиколлинеарность.</w:t>
        <w:br/>
        <w:t>3. Построено 4 модели разной природы (линейная, дерево, бэггинг, бустинг), рассчитано 5 метрик, построены графики остатков и важности факторов.</w:t>
        <w:br/>
        <w:t>4. Веб-приложение полностью работоспособно, содержит интерактивный дашборд Plotly, форму с валидацией и доверительным интервалом, и документацию.</w:t>
        <w:br/>
        <w:t>5. Код проекта структурирован, снабжен скриптом запуска, README и версионированием зависимостей.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