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/>
          <w:b/>
          <w:color w:val="1B365D"/>
          <w:sz w:val="44"/>
        </w:rPr>
        <w:t>БИЗНЕС-ТРЕБОВАНИЯ (BRD)</w:t>
      </w:r>
    </w:p>
    <w:p>
      <w:pPr>
        <w:keepNext/>
        <w:spacing w:before="0" w:after="240"/>
      </w:pPr>
      <w:r>
        <w:rPr>
          <w:rFonts w:ascii="Calibri" w:hAnsi="Calibri"/>
          <w:b/>
          <w:color w:val="2C5E8A"/>
          <w:sz w:val="26"/>
        </w:rPr>
        <w:t>Проект: Автоматизированная система диспетчеризации клиентских обращений, контроля SLA и балансировки нагрузки инженеров «SLA Dispatch &amp; Routing Desk»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Параметр документа</w:t>
            </w:r>
          </w:p>
        </w:tc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Наименование проекта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SLA Dispatch &amp; Routing Desk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Модельная компания (Заказчик)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ООО «РитейлТехСервис» (сервисное обслуживание ИТ- и кассовой инфраструктуры ритейла)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Тип документа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Business Requirements Document (BRD) / Бизнес-постановка задачи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Технологический стек MVP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Python 3.10+, Streamlit, SQLite3, Pandas, Plotly, Unittest/Pytest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Статус данных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Реальный бизнес-сценарий B2B Service Desk на базе синтетического набора данных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BF2F7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>Резюме проекта (Executive Summary)</w:t>
              <w:br/>
            </w:r>
            <w:r>
              <w:rPr>
                <w:rFonts w:ascii="Calibri" w:hAnsi="Calibri"/>
                <w:color w:val="1F2937"/>
                <w:sz w:val="21"/>
              </w:rPr>
              <w:t>Документ формализует бизнес-проблему сервисной компании «РитейлТехСервис», связанную с ручной диспетчеризацией заявок технической поддержки, потерей критических инцидентов и штрафами за нарушение договорных сроков обслуживания (SLA). Предлагаемое решение — веб-приложение на Python, обеспечивающее автоматическую классификацию обращений, расчет дедлайнов по матрице SLA, цветовую индикацию рисков просрочки и взвешенную маршрутизацию заявок по инженерам смены.</w:t>
            </w:r>
          </w:p>
        </w:tc>
      </w:tr>
    </w:tbl>
    <w:p>
      <w:pPr>
        <w:spacing w:before="0" w:after="8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1. Описание компании и её бизнес-модели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Компания «РитейлТехСервис» (модельный профиль типового B2B ИТ-аутсорсера и сервисного интегратора) специализируется на круглосуточном техническом сопровождении контрольно-кассовой техники (ККТ), POS-терминалов, весового и сканирующего оборудования, товароучетного ПО (1С, Фронтол) и каналов фискализации (ОФД, ЕГАИС, Честный Знак) для розничных сетей, аптек и предприятий общественного питания.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Модель монетизации: </w:t>
      </w:r>
      <w:r>
        <w:rPr>
          <w:rFonts w:ascii="Calibri" w:hAnsi="Calibri"/>
          <w:color w:val="1F2937"/>
          <w:sz w:val="22"/>
        </w:rPr>
        <w:t>Сервисные контракты с ежемесячной абонентской платой, дифференцированные по трем уровням обслуживания (SLA): VIP (Gold), Standard и Basic.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Финансовая ответственность: </w:t>
      </w:r>
      <w:r>
        <w:rPr>
          <w:rFonts w:ascii="Calibri" w:hAnsi="Calibri"/>
          <w:color w:val="1F2937"/>
          <w:sz w:val="22"/>
        </w:rPr>
        <w:t>Договоры уровней VIP и Standard предусматривают прямые штрафные удержания (неустойку) за каждый факт превышения нормативного времени восстановления работоспособности торговой точки.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2. Описание текущего бизнес-процесса AS-IS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В текущей операционной модели (AS-IS) прием и распределение клиентских инцидентов выполняются диспетчером первой линии вручную без специализированного инструментария триажа: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1. Поступление обращения: </w:t>
      </w:r>
      <w:r>
        <w:rPr>
          <w:rFonts w:ascii="Calibri" w:hAnsi="Calibri"/>
          <w:color w:val="1F2937"/>
          <w:sz w:val="22"/>
        </w:rPr>
        <w:t>Управляющий магазином или кассир направляет сообщение о сбое в общий почтовый ящик, мессенджер или через простую веб-форму.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2. Ручная регистрация и классификация: </w:t>
      </w:r>
      <w:r>
        <w:rPr>
          <w:rFonts w:ascii="Calibri" w:hAnsi="Calibri"/>
          <w:color w:val="1F2937"/>
          <w:sz w:val="22"/>
        </w:rPr>
        <w:t>Дежурный координатор переносит текст в общую электронную таблицу и субъективно («на глаз») определяет тему и срочность проблемы.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3. Слепое назначение исполнителя: </w:t>
      </w:r>
      <w:r>
        <w:rPr>
          <w:rFonts w:ascii="Calibri" w:hAnsi="Calibri"/>
          <w:color w:val="1F2937"/>
          <w:sz w:val="22"/>
        </w:rPr>
        <w:t>Координатор передает заявку инженеру в рабочем чате, не имея перед глазами объективной картины того, сколько сложных аварий уже находится в работе у каждого специалиста.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4. Исполнение без проактивного таймера: </w:t>
      </w:r>
      <w:r>
        <w:rPr>
          <w:rFonts w:ascii="Calibri" w:hAnsi="Calibri"/>
          <w:color w:val="1F2937"/>
          <w:sz w:val="22"/>
        </w:rPr>
        <w:t>Инженер обрабатывает заявки в произвольном порядке; нормативный дедлайн по конкретному договору клиента не рассчитывается и не подсвечивается при приближении просрочки.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Шаг 5. Постфактум-контроль: </w:t>
      </w:r>
      <w:r>
        <w:rPr>
          <w:rFonts w:ascii="Calibri" w:hAnsi="Calibri"/>
          <w:color w:val="1F2937"/>
          <w:sz w:val="22"/>
        </w:rPr>
        <w:t>Руководитель отдела поддержки сводит отчетность только в конце месяца, обнаруживая срывы SLA тогда, когда клиенты уже выставляют финансовые претензии.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3. Бизнес-проблема, узкое место и корневые причины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2937"/>
          <w:sz w:val="22"/>
        </w:rPr>
        <w:t xml:space="preserve">Ключевое узкое место процесса (Bottleneck): </w:t>
      </w:r>
      <w:r>
        <w:rPr>
          <w:rFonts w:ascii="Calibri" w:hAnsi="Calibri"/>
          <w:color w:val="1F2937"/>
          <w:sz w:val="22"/>
        </w:rPr>
        <w:t>Отсутствие автоматизированного триажа (первичной классификации), проактивного мониторинга сроков SLA и алгоритмической балансировки нагрузки на этапе приема заявки.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Корневая причина (Root Cause)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Проявление в операционном процессе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Негативное последствие для бизнеса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Субъективная оценка критичности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Аварии с полной остановкой касс («простой магазина») попадают в общую очередь наравне с запросами инструкций.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Прямые потери выручки клиента, эскалации на уровень руководства и отток VIP-контрагентов.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Ручная сверка договорных условий SLA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При приеме заявки диспетчер не сверяется с матрицей тарифа клиента (VIP / Standard / Basic).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Неверная приоритизация очереди и пропуск жестких контрактных дедлайнов (1–2 часа для VIP).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Отсутствие взвешенного учета нагрузки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Заявки распределяются без учета тяжести текущих задач инженера (овербукинг ключевых L2-специалистов).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Простой одних сотрудников при критической перегрузке других, рост среднего времени решения (MTTR).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Отсутствие индикации «желтой зоны риска»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Нет автоматического предупреждения, когда до дедлайна SLA остается менее 25% времени.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Невозможность вовремя перебросить заявку свободному инженеру; накопление штрафов по итогам месяца.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4. Заинтересованные стороны и пользователи системы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Роль / Стейкхолдер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Интерес в проекте</w:t>
            </w:r>
          </w:p>
        </w:tc>
        <w:tc>
          <w:tcPr>
            <w:tcW w:type="dxa" w:w="312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Использование системы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Руководитель службы поддержки (Владелец процесса)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Повышение SLA Compliance Rate, снижение штрафных списаний, прозрачность работы смены.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Аналитический дашборд KPI, контроль списка проблемных тикетов и баланса нагрузки.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Диспетчер / Оператор 1-й линии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Быстрая и безошибочная регистрация заявок без ручного поиска свободного инженера.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Модуль регистрации и автотриажа, мониторинг очереди и ручная корректировка при форс-мажоре.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Инженер технической поддержки (L1/L2)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Справедливое распределение задач по профилю компетенций и понятный приоритет выполнения.</w:t>
            </w:r>
          </w:p>
        </w:tc>
        <w:tc>
          <w:tcPr>
            <w:tcW w:type="dxa" w:w="312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Работа с очередью заявок, ранжированной по остатку времени SLA, фиксация решения.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Корпоративные клиенты (B2B)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Минимизация времени простоя кассовых узлов и соблюдение договорных гарантий.</w:t>
            </w:r>
          </w:p>
        </w:tc>
        <w:tc>
          <w:tcPr>
            <w:tcW w:type="dxa" w:w="312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Своевременное восстановление работы торговых точек в рамках оплаченного тарифа.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5. Бизнес-цель, задачи и целевой процесс TO-BE</w:t>
      </w:r>
    </w:p>
    <w:p>
      <w:pPr>
        <w:spacing w:before="0" w:after="120" w:line="276" w:lineRule="auto"/>
      </w:pPr>
      <w:r>
        <w:rPr>
          <w:rFonts w:ascii="Calibri" w:hAnsi="Calibri"/>
          <w:b/>
          <w:color w:val="1F2937"/>
          <w:sz w:val="22"/>
        </w:rPr>
        <w:t xml:space="preserve">Стратегическая бизнес-цель: </w:t>
      </w:r>
      <w:r>
        <w:rPr>
          <w:rFonts w:ascii="Calibri" w:hAnsi="Calibri"/>
          <w:color w:val="1F2937"/>
          <w:sz w:val="22"/>
        </w:rPr>
        <w:t>Сократить долю нарушений договорных сроков обслуживания (SLA Breaches) и время первичной диспетчеризации обращений за счет внедрения автоматической классификации, расчета нормативных дедлайнов и взвешенной балансировки нагрузки инженеров.</w:t>
      </w:r>
    </w:p>
    <w:p>
      <w:pPr>
        <w:keepNext/>
        <w:spacing w:before="200" w:after="80"/>
      </w:pPr>
      <w:r>
        <w:rPr>
          <w:rFonts w:ascii="Calibri" w:hAnsi="Calibri"/>
          <w:b/>
          <w:color w:val="2C5E8A"/>
          <w:sz w:val="26"/>
        </w:rPr>
        <w:t>Целевой бизнес-процесс TO-BE в системе «SLA Dispatch &amp; Routing Desk»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1. Автоматический триаж (&lt; 0.1 сек): </w:t>
      </w:r>
      <w:r>
        <w:rPr>
          <w:rFonts w:ascii="Calibri" w:hAnsi="Calibri"/>
          <w:color w:val="1F2937"/>
          <w:sz w:val="22"/>
        </w:rPr>
        <w:t>При вводе обращения система анализирует заголовок и описание по словарям ключевых маркеров, автоматически определяя категорию (`Кассовое ПО`, `Оборудование / POS`, `Сеть и Фискализация (ОФД)`, `Консультация и Отчетность`) и приоритет (`Critical`, `High`, `Medium`, `Low`).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2. Расчет дедлайна по матрице SLA: </w:t>
      </w:r>
      <w:r>
        <w:rPr>
          <w:rFonts w:ascii="Calibri" w:hAnsi="Calibri"/>
          <w:color w:val="1F2937"/>
          <w:sz w:val="22"/>
        </w:rPr>
        <w:t>Система сопоставляет тариф клиента (`VIP`, `Standard`, `Basic`) с приоритетом инцидента и вычисляет точное время дедлайна (`SLA Deadline`).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3. Интеллектуальная маршрутизация (Smart Routing): </w:t>
      </w:r>
      <w:r>
        <w:rPr>
          <w:rFonts w:ascii="Calibri" w:hAnsi="Calibri"/>
          <w:color w:val="1F2937"/>
          <w:sz w:val="22"/>
        </w:rPr>
        <w:t>Алгоритм рассчитывает текущий индекс нагрузки каждого активного инженера в баллах (`Critical=4`, `High=3`, `Medium=2`, `Low=1`) и назначает заявку наименее загруженному профильному специалисту (с резервным переключением на `Универсала`).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4. Проактивный мониторинг («Светофор SLA»): </w:t>
      </w:r>
      <w:r>
        <w:rPr>
          <w:rFonts w:ascii="Calibri" w:hAnsi="Calibri"/>
          <w:color w:val="1F2937"/>
          <w:sz w:val="22"/>
        </w:rPr>
        <w:t>В очереди заявок непрерывно рассчитывается остаток времени: 🟢 В норме (&gt;25% времени), 🟡 Риск просрочки (≤25% времени), 🔴 Просрочено (дедлайн нарушен).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5. Закрытие и аналитика KPI: </w:t>
      </w:r>
      <w:r>
        <w:rPr>
          <w:rFonts w:ascii="Calibri" w:hAnsi="Calibri"/>
          <w:color w:val="1F2937"/>
          <w:sz w:val="22"/>
        </w:rPr>
        <w:t>При переводе заявки в статус `Решена` фиксируется фактическое время восстановления, проверяется выполнение SLA и обновляются метрики на дашборде руководителя.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6. Матрица SLA и финансовая модель оценки рисков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В основу бизнес-логики приложения заложена формализованная матрица SLA, связывающая коммерческий тариф клиента, критичность сбоя и финансовую ответственность сервисной компании: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Тариф клиента</w:t>
            </w:r>
          </w:p>
        </w:tc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Critical (Авария)</w:t>
            </w:r>
          </w:p>
        </w:tc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High (Высокий)</w:t>
            </w:r>
          </w:p>
        </w:tc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Medium (Средний)</w:t>
            </w:r>
          </w:p>
        </w:tc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Low (Запрос)</w:t>
            </w:r>
          </w:p>
        </w:tc>
        <w:tc>
          <w:tcPr>
            <w:tcW w:type="dxa" w:w="156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Штраф за 1 срыв SLA (синтетика)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VIP (Gold)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60 мин (1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120 мин (2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240 мин (4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480 мин (8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3 000 ₽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Standard</w:t>
            </w:r>
          </w:p>
        </w:tc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120 мин (2 ч)</w:t>
            </w:r>
          </w:p>
        </w:tc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240 мин (4 ч)</w:t>
            </w:r>
          </w:p>
        </w:tc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480 мин (8 ч)</w:t>
            </w:r>
          </w:p>
        </w:tc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1440 мин (24 ч)</w:t>
            </w:r>
          </w:p>
        </w:tc>
        <w:tc>
          <w:tcPr>
            <w:tcW w:type="dxa" w:w="156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1 000 ₽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Basic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240 мин (4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480 мин (8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1440 мин (24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2880 мин (48 ч)</w:t>
            </w:r>
          </w:p>
        </w:tc>
        <w:tc>
          <w:tcPr>
            <w:tcW w:type="dxa" w:w="156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0 ₽ (репутационный риск)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rd_s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B5563"/>
          <w:sz w:val="19"/>
        </w:rPr>
        <w:t>Рисунок 1 — Дифференциация нормативного времени решения инцидентов по матрице SLA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7. Границы проекта (Scope of MVP) и бизнес-требования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Входит в границы MVP (In Scope)</w:t>
            </w:r>
          </w:p>
        </w:tc>
        <w:tc>
          <w:tcPr>
            <w:tcW w:type="dxa" w:w="468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Не входит в границы MVP (Out of Scope — развитие)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1. Веб-интерфейс на базе Streamlit (4 функциональных модуля + панель смены).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1. Прямая интеграция с почтовыми серверами (IMAP/SMTP) и внешними мессенджерами.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2. Локальная реляционная БД SQLite3 с автоинициализацией и генератором демо-данных.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2. Многопользовательская авторизация с разграничением паролей (RBAC-сессии).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3. Правиловый NLP-классификатор категории и приоритета с текстовым объяснением.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3. Обучение тяжелых нейросетевых моделей и подключение платных облачных LLM API.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4. Движок расчета дедлайнов SLA, светофора рисков и балансировки Smart Routing.</w:t>
            </w:r>
          </w:p>
        </w:tc>
        <w:tc>
          <w:tcPr>
            <w:tcW w:type="dxa" w:w="468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4. Учет сложных региональных производственных календарей (режим поддержки 24/7).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5. Аналитический дашборд руководителя (Plotly) и экспорт реестра в CSV.</w:t>
            </w:r>
          </w:p>
        </w:tc>
        <w:tc>
          <w:tcPr>
            <w:tcW w:type="dxa" w:w="468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5. Интеграция с бухгалтерской системой 1С для автоматического выставления счетов.</w:t>
            </w:r>
          </w:p>
        </w:tc>
      </w:tr>
    </w:tbl>
    <w:p>
      <w:pPr>
        <w:spacing w:before="0"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8. Ключевые показатели эффективности (KPI) и ожидаемый эффект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Показатель (KPI)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Формула расчета в системе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Базовый уровень (гипотеза AS-IS)</w:t>
            </w:r>
          </w:p>
        </w:tc>
        <w:tc>
          <w:tcPr>
            <w:tcW w:type="dxa" w:w="2340"/>
            <w:vAlign w:val="center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Целевой уровень (гипотеза TO-BE)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SLA Compliance Rate (%)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(Закрыто в срок / Всего закрыто) × 100%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70% – 75%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≥ 90%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Среднее время решения (MTTR)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Среднее(Resolved_At − Created_At)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240 – 300 мин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&lt; 180 мин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Время первичного триажа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Время от ввода до назначения инженера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5 – 12 мин (вручную)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&lt; 1 сек (автоматически)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Коэффициент баланса нагрузки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Max(Workload_Score) / Avg(Workload_Score)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&gt; 2.0 (сильный перекос)</w:t>
            </w:r>
          </w:p>
        </w:tc>
        <w:tc>
          <w:tcPr>
            <w:tcW w:type="dxa" w:w="2340"/>
            <w:vAlign w:val="center"/>
            <w:shd w:fill="F2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keepNext/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1.00 – 1.35 (баланс)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20"/>
              </w:rPr>
              <w:t>Штрафные потери по SLA (₽)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Сумма штрафов по просроченным тикетам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Высокие потери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20"/>
              </w:rPr>
              <w:t>Снижение на 50% – 70%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b/>
          <w:color w:val="1F2937"/>
          <w:sz w:val="22"/>
        </w:rPr>
        <w:t xml:space="preserve">Разделение подтвержденных фактов и гипотез: </w:t>
      </w:r>
      <w:r>
        <w:rPr>
          <w:rFonts w:ascii="Calibri" w:hAnsi="Calibri"/>
          <w:color w:val="1F2937"/>
          <w:sz w:val="22"/>
        </w:rPr>
        <w:t>В соответствии с принципами академической и аналитической честности все эффекты разделены на две группы: (1) Подтвержденные алгоритмические факты — сокращение времени триажа до долей секунды и математическое исключение назначения новой заявки самому перегруженному инженеру смены; (2) Рабочие бизнес-гипотезы — рост SLA Compliance Rate до 90%+ и сокращение штрафных удержаний на 50–70% при промышленной эксплуатации.</w:t>
      </w:r>
    </w:p>
    <w:p>
      <w:pPr>
        <w:keepNext/>
        <w:spacing w:before="280" w:after="100"/>
      </w:pPr>
      <w:r>
        <w:rPr>
          <w:rFonts w:ascii="Calibri" w:hAnsi="Calibri"/>
          <w:b/>
          <w:color w:val="1B365D"/>
          <w:sz w:val="32"/>
        </w:rPr>
        <w:t>9. Ограничения, риски, допущения и критерии приёмки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Допущение о режиме работы: </w:t>
      </w:r>
      <w:r>
        <w:rPr>
          <w:rFonts w:ascii="Calibri" w:hAnsi="Calibri"/>
          <w:color w:val="1F2937"/>
          <w:sz w:val="22"/>
        </w:rPr>
        <w:t>Служба технической поддержки обслуживает розничные магазины в режиме 24/7, поэтому нормативное время SLA рассчитывается непрерывно в астрономических минутах.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Допущение о данных: </w:t>
      </w:r>
      <w:r>
        <w:rPr>
          <w:rFonts w:ascii="Calibri" w:hAnsi="Calibri"/>
          <w:color w:val="1F2937"/>
          <w:sz w:val="22"/>
        </w:rPr>
        <w:t>Для демонстрации и тестирования используются синтетические данные (5 клиентов, 5 инженеров, 24 заявки), временные метки которых автоматически генерируются относительно момента запуска приложения.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Митигация риска нестандартного текста: </w:t>
      </w:r>
      <w:r>
        <w:rPr>
          <w:rFonts w:ascii="Calibri" w:hAnsi="Calibri"/>
          <w:color w:val="1F2937"/>
          <w:sz w:val="22"/>
        </w:rPr>
        <w:t>Если клиент описывает проблему без технических терминов, система присваивает базовую категорию и средний приоритет, а диспетчер может скорректировать их вручную чекбоксом переопределения.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Критерий приёмки №1: </w:t>
      </w:r>
      <w:r>
        <w:rPr>
          <w:rFonts w:ascii="Calibri" w:hAnsi="Calibri"/>
          <w:color w:val="1F2937"/>
          <w:sz w:val="22"/>
        </w:rPr>
        <w:t>При подаче заявки с маркерами остановки касс от клиента тарифа VIP система автоматически выставляет приоритет Critical, норматив 60 минут и назначает наименее загруженного профильного инженера.</w:t>
      </w:r>
    </w:p>
    <w:p>
      <w:pPr>
        <w:pStyle w:val="ListBullet"/>
        <w:spacing w:before="20" w:after="160" w:line="276" w:lineRule="auto"/>
        <w:ind w:left="360"/>
      </w:pPr>
      <w:r>
        <w:rPr>
          <w:rFonts w:ascii="Calibri" w:hAnsi="Calibri"/>
          <w:b/>
          <w:color w:val="1F2937"/>
          <w:sz w:val="22"/>
        </w:rPr>
        <w:t xml:space="preserve">Критерий приёмки №2: </w:t>
      </w:r>
      <w:r>
        <w:rPr>
          <w:rFonts w:ascii="Calibri" w:hAnsi="Calibri"/>
          <w:color w:val="1F2937"/>
          <w:sz w:val="22"/>
        </w:rPr>
        <w:t>Все 8 ключевых алгоритмических сценариев (TC-01..TC-08) успешно проходят автоматическое модульное тестирование (`unittest` / `pytest`).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