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АКТ</w:t>
      </w:r>
    </w:p>
    <w:p>
      <w:pPr>
        <w:jc w:val="center"/>
      </w:pPr>
      <w:r>
        <w:rPr>
          <w:b/>
        </w:rPr>
        <w:t xml:space="preserve">определения уровня защищённости персональных данных при их обработке в информационной системе персональных данных</w:t>
      </w:r>
    </w:p>
    <w:p>
      <w:pPr>
        <w:jc w:val="center"/>
      </w:pPr>
      <w:r>
        <w:rPr>
          <w:b/>
        </w:rPr>
        <w:t xml:space="preserve">«Система контроля доступа (СКУД) с биометрической идентификацией»</w:t>
      </w:r>
    </w:p>
    <w:p>
      <w:r>
        <w:t xml:space="preserve">г. Новосибирск                                                                  2026-10-27</w:t>
      </w:r>
    </w:p>
    <w:p>
      <w:r>
        <w:t xml:space="preserve">Оператор: ООО «Белый Кедр».</w:t>
      </w:r>
    </w:p>
    <w:p>
      <w:r>
        <w:t xml:space="preserve">Комиссия в составе: председатель - Кравцова Ирина Олеговна (ответственный за защиту ПДн); члены - Мельников Денис Сергеевич (руководитель проекта), Мельников Денис Сергеевич (ответственный за систему).</w:t>
      </w:r>
    </w:p>
    <w:p>
      <w:r>
        <w:rPr>
          <w:b/>
        </w:rPr>
        <w:t xml:space="preserve">1. Основание</w:t>
      </w:r>
    </w:p>
    <w:p>
      <w:r>
        <w:t xml:space="preserve">Постановление Правительства РФ от 01.11.2012 № 1119 (пп. 9-12), учебная матрица определения уровней защищённости. Редакция нормы подлежит сверке.</w:t>
      </w:r>
    </w:p>
    <w:p>
      <w:r>
        <w:rPr>
          <w:b/>
        </w:rPr>
        <w:t xml:space="preserve">2. Общие сведения об ИСПДн</w:t>
      </w:r>
    </w:p>
    <w:p>
      <w:r>
        <w:t xml:space="preserve">Номер: ИСПДн-02. Назначение: Допуск сотрудников в помещения с медицинским оборудованием по отпечатку пальца. Границы: Биометрические считыватели, сервер СКУД, контроллеры дверей. Признак ГИС: нет.</w:t>
      </w:r>
    </w:p>
    <w:p>
      <w:r>
        <w:rPr>
          <w:b/>
        </w:rPr>
        <w:t xml:space="preserve">3. Исходные данные и результат расчёта по контурам</w:t>
      </w:r>
    </w:p>
    <w:p>
      <w:r>
        <w:t xml:space="preserve">Контур «Основной контур»: категория ПДн - биометрические; субъекты - сотрудники; количество - 540; тип угроз (задан условием) - 2; уровень - УЗ-2. Категория «биометрические», субъекты - сотрудники оператора, порог 100000 не применяется, тип угроз 2 -&gt; УЗ-2 по правилу: п. 10 «б» (угрозы 2 типа, биометрические ПДн)</w:t>
      </w:r>
    </w:p>
    <w:p>
      <w:r>
        <w:rPr>
          <w:b/>
        </w:rPr>
        <w:t xml:space="preserve">4. Решение комиссии</w:t>
      </w:r>
    </w:p>
    <w:p>
      <w:r>
        <w:t xml:space="preserve">Для ИСПДн «Система контроля доступа (СКУД) с биометрической идентификацией» установить уровень защищённости: УЗ-2. Один контур обработки: УЗ-2.</w:t>
      </w:r>
    </w:p>
    <w:p>
      <w:r>
        <w:t xml:space="preserve">Ранее заявленный уровень: УЗ-2.</w:t>
      </w:r>
    </w:p>
    <w:p>
      <w:r>
        <w:rPr>
          <w:b/>
        </w:rPr>
        <w:t xml:space="preserve">5. Необходимые меры</w:t>
      </w:r>
    </w:p>
    <w:p>
      <w:r>
        <w:t xml:space="preserve">Требуется мер: 23; реализовано: 22; не реализовано: ЗТС.3.</w:t>
      </w:r>
    </w:p>
    <w:p>
      <w:r>
        <w:rPr>
          <w:b/>
        </w:rPr>
        <w:t xml:space="preserve">6. Примечание</w:t>
      </w:r>
    </w:p>
    <w:p>
      <w:r>
        <w:t xml:space="preserve">Результаты получены по УЧЕБНОЙ матрице и учебной раскладке мер; это не юридическое заключение о соответствии организации требованиям законодательства. Тип угроз принят по условию и не выводился из состава программного обеспечения.</w:t>
      </w:r>
    </w:p>
    <w:p>
      <w:r>
        <w:t xml:space="preserve">Председатель комиссии: ____________ / Кравцова Ирина Олеговна</w:t>
      </w:r>
    </w:p>
    <w:p>
      <w:r>
        <w:t xml:space="preserve">Члены комиссии: ____________ / Мельников Денис Сергеевич ; ____________ / Мельников Денис Сергеевич</w:t>
      </w:r>
    </w:p>
  </w:body>
</w:document>
</file>