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75w83xcmtt1p" w:id="0"/>
      <w:bookmarkEnd w:id="0"/>
      <w:r w:rsidDel="00000000" w:rsidR="00000000" w:rsidRPr="00000000">
        <w:rPr>
          <w:rtl w:val="0"/>
        </w:rPr>
        <w:t xml:space="preserve">Задание для лабораторной работы по курсу CLD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ageBreakBefore w:val="0"/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azzwpl5o78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Данные: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_eazzwpl5o788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ohvaxrzp0q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_mohvaxrzp0qs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bjd9iva2yw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рекомендации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_fbjd9iva2yws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eazzwpl5o788" w:id="1"/>
      <w:bookmarkEnd w:id="1"/>
      <w:r w:rsidDel="00000000" w:rsidR="00000000" w:rsidRPr="00000000">
        <w:rPr>
          <w:rtl w:val="0"/>
        </w:rPr>
        <w:t xml:space="preserve">Постановка: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Банк N изучает возможности оптимизации своей кредитной линии - доставьте необходимые данные в том разрезе, в котором аналитики различного профиля смогут наиболее полно их анализировать с использованием методов традиционной и “продвинутой” аналитики, а бизнес получать отчетность различного характера.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3wh0qzla5yaz" w:id="2"/>
      <w:bookmarkEnd w:id="2"/>
      <w:r w:rsidDel="00000000" w:rsidR="00000000" w:rsidRPr="00000000">
        <w:rPr>
          <w:rtl w:val="0"/>
        </w:rPr>
        <w:t xml:space="preserve">Данные: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Используем публичный датасет BigQuery bigquery-public-data.ml_datasets.credit_card_default - информация о просроченных платежах по кредитам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(*) Бинарная классификация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это задача классификации множества объектов в две группы, т.е. предсказание, к какой из двух групп принадлежит объект.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При этом элемент относится с некоторой вероятностью (например, 0.6) к первой группе, а с какой-то во второй (например, 0.4), причем это полная группа событий.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Порог определяет величину вероятности, “разделяющую” группы. Если группы со значениями 0 и 1 разделены порогом 0.5, то при вероятности &lt; 0.5 объект относится к группе со значением 0, а при  &gt;= 0.5 - к группе со значением 1.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В изучаемом датасете поля default_payment_next_month - признак просроченного платежа в действительности, а predicted_default_payment_next_month - признак, предсказанный при помощи некоторой модели бинарной классификации (обратите внимание, что это RECORD REPEATED с вероятностями для 0 и 1, образующими полную группу событий - суммарная вероятность = 1)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mohvaxrzp0qs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Изучите структуру данных в датасете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Скопируйте датасет в свой проект, чтобы иметь возможность свободно им оперировать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Проанализируйте датасет - определите, сколько записей при пороге 0.5 алгоритм корректно классифицировал в ту или иную группу, чтобы понять, насколько эффективной была модель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Используя batch-шаблон Dataflow, выгрузите датасет в GCS в формате Parquet, чтобы предоставить коллегам аналитикам возможности для дальнейшего углубленного анализа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Разверните кластер Dataproc, откройте Jupyter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Интегрируйте выгруженные ранее данные в Jupyter посредством Spark, чтобы сделать их доступными для анализа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Выведите схему полученного DataFrame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Вычислите медиану кредитного лимита (поле limit_balance) в зависимости от возраста (age)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Бонусное задание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Jupyter конвертируйте данные в Pandas и визуализируйте зависимость между полями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На выходе будет пример pipeline поставки данных для использования в различных типах аналитики различными категориями пользователей (аналитики, data scientist’ы и т.д.) с примерами использования инструментария облака.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fbjd9iva2yws" w:id="4"/>
      <w:bookmarkEnd w:id="4"/>
      <w:r w:rsidDel="00000000" w:rsidR="00000000" w:rsidRPr="00000000">
        <w:rPr>
          <w:rtl w:val="0"/>
        </w:rPr>
        <w:t xml:space="preserve">Общие рекомендации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забудьте использовать сервисный аккаунт с широкими правами (в части Dataflow и BigQuery) при запуске выгрузки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Учитывайте локацию датасета при копировании, а само копирование можно выполнить посредством Create-Table-As-Select операции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примеры запуска из домашнего задания для корректной настройки параметров Dataflow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забудьте активировать Component Gateway и добавить Jupyter Notebook при развертывании Dataproc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коннектор gs:// при чтении данных из GCS посредством Spark ( spark.read.format("parquet").load("gs://bucket/path") 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вычисления медианы можно использовать функцию персентили percentile_approx с параметром accuracy = 0.5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https://spark.apache.org/docs/latest/sql-ref-functions-builtin.html</w:t>
        </w:r>
      </w:hyperlink>
      <w:r w:rsidDel="00000000" w:rsidR="00000000" w:rsidRPr="00000000">
        <w:rPr>
          <w:rtl w:val="0"/>
        </w:rPr>
        <w:t xml:space="preserve">), может быть удобно использовать механизм registerTempTable для использования стандартного SQL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ошибок при запуске задачи Dataflow исследуйте логи облака через ссылку на Cloud Logging на предмет ошибки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ark.apache.org/docs/latest/sql-ref-functions-built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