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Проектная документация</w:t>
      </w:r>
    </w:p>
    <w:p>
      <w:pPr>
        <w:pStyle w:val="Heading1"/>
      </w:pPr>
      <w:r>
        <w:t>Функциональные требования (FR)</w:t>
      </w:r>
    </w:p>
    <w:p>
      <w:pPr>
        <w:pStyle w:val="ListBullet"/>
      </w:pPr>
      <w:r>
        <w:t>FR-1 (Каталог и рубрикация): Система должна предоставлять доступ к справочнику категорий комплектующих (component_categories) с возможностью фильтрации по техническим параметрам.</w:t>
      </w:r>
    </w:p>
    <w:p>
      <w:pPr>
        <w:pStyle w:val="ListBullet"/>
      </w:pPr>
      <w:r>
        <w:t>FR-2 (Интерактивная конфигурация): Пользователь должен иметь возможность пошагово назначать и заменять комплектующие в слотах виртуальной сборки.</w:t>
      </w:r>
    </w:p>
    <w:p>
      <w:pPr>
        <w:pStyle w:val="ListBullet"/>
      </w:pPr>
      <w:r>
        <w:t>FR-3 (Алгоритмический аудит): Система обязана выполнять автоматическую проверку совместимости выбранных узлов (сокет CPU/платы, тип памяти DDR, клиренс видеокарты/кулера в корпусе, запас мощности БП).</w:t>
      </w:r>
    </w:p>
    <w:p>
      <w:pPr>
        <w:pStyle w:val="ListBullet"/>
      </w:pPr>
      <w:r>
        <w:t>FR-4 (Расчет энергопотребления): Сервис рассчитывает суммарный пиковый TDP компонентов в реальном времени.</w:t>
      </w:r>
    </w:p>
    <w:p>
      <w:pPr>
        <w:pStyle w:val="ListBullet"/>
      </w:pPr>
      <w:r>
        <w:t>FR-5 (Управление доступом к сборке): Автор сборки может переключать ее статус между Private (доступна только автору) и Public (отображается в общем каталоге).</w:t>
      </w:r>
    </w:p>
    <w:p>
      <w:pPr>
        <w:pStyle w:val="ListBullet"/>
      </w:pPr>
      <w:r>
        <w:t>FR-6 (Генерация ссылки для шеринга): Для любой сборки система формирует постоянный уникальный буквенно-цифровой идентификатор (share_slug) для просмотра конфигурации сторонними лицами без обязательной авторизации.</w:t>
      </w:r>
    </w:p>
    <w:p>
      <w:pPr>
        <w:pStyle w:val="Heading1"/>
      </w:pPr>
      <w:r>
        <w:t>Нефункциональные требования (NFR)</w:t>
      </w:r>
    </w:p>
    <w:p>
      <w:pPr>
        <w:pStyle w:val="ListBullet"/>
      </w:pPr>
      <w:r>
        <w:t>NFR-1 (Ресурсные лимиты): Сервис в полном составе (Reverse Proxy + Frontend + Backend API + СУБД PostgreSQL) должен стабильно развертываться в Docker-контейнерах на хосте с 8 ГБ RAM под управлением Arch Linux, потребляя в сумме не более 1.5 ГБ RAM.</w:t>
      </w:r>
    </w:p>
    <w:p>
      <w:pPr>
        <w:pStyle w:val="ListBullet"/>
      </w:pPr>
      <w:r>
        <w:t>NFR-2 (Производительность): Время выполнения алгоритма валидации полной конфигурации на бэкенде не должно превышать 150 мс.</w:t>
      </w:r>
    </w:p>
    <w:p>
      <w:pPr>
        <w:pStyle w:val="ListBullet"/>
      </w:pPr>
      <w:r>
        <w:t>NFR-3 (Целостность данных): При удалении комплектующего из глобального каталога ссылки в сборках сбрасываются в NULL (ON DELETE SET NULL) без удаления самой конфигурации; статус сборки при этом автоматически меняется на is_compatible = false.</w:t>
      </w:r>
    </w:p>
    <w:p>
      <w:pPr>
        <w:pStyle w:val="ListBullet"/>
      </w:pPr>
      <w:r>
        <w:t>NFR-4 (Интерфейс): Адаптивная верстка с поддержкой разрешений от 1280px (десктопный фокус для инженерных спецификаций).</w:t>
      </w:r>
    </w:p>
    <w:p>
      <w:pPr>
        <w:pStyle w:val="Heading1"/>
      </w:pPr>
      <w:r>
        <w:t>Бизнес-требования (Business Requirements)</w:t>
      </w:r>
    </w:p>
    <w:p>
      <w:pPr>
        <w:pStyle w:val="ListBullet"/>
      </w:pPr>
      <w:r>
        <w:t>BR-1 (Цель продукта): Предоставление независимого инженерного веб-сервиса для подбора аппаратных комплектующих ПК с автоматической верификацией их физической, интерфейсной и электрической совместимости без элементов коммерции (покупок/корзин).</w:t>
      </w:r>
    </w:p>
    <w:p>
      <w:pPr>
        <w:pStyle w:val="ListBullet"/>
      </w:pPr>
      <w:r>
        <w:t>BR-2 (Ценность для пользователя): Исключение технических ошибок при самостоятельном подборе «железа» (несовпадение сокетов, геометрический конфликт кулера и корпуса, дефицит мощности блока питания).</w:t>
      </w:r>
    </w:p>
    <w:p>
      <w:pPr>
        <w:pStyle w:val="ListBullet"/>
      </w:pPr>
      <w:r>
        <w:t>BR-3 (Социальный контур и шеринг): Предоставление механизмов сохранения сборок, управления уровнем доступа (приватная / публичная) и моментальной передачи спецификации другим пользователям через уникальные пермалинки.</w:t>
      </w:r>
    </w:p>
    <w:p>
      <w:pPr>
        <w:pStyle w:val="ListBullet"/>
      </w:pPr>
      <w:r>
        <w:t>BR-4 (Каталогизация): Наличие единого рубрикатора категорий для унифицированного просмотра доступных компонентов базы данных.</w:t>
      </w:r>
    </w:p>
    <w:p>
      <w:pPr>
        <w:pStyle w:val="Heading1"/>
      </w:pPr>
      <w:r>
        <w:t>Роадмапа проекта (Roadmap)</w:t>
      </w:r>
    </w:p>
    <w:p>
      <w:pPr>
        <w:pStyle w:val="ListBullet"/>
      </w:pPr>
      <w:r>
        <w:t>Этап 1 (Лабораторная работа 1 — Завершено):</w:t>
      </w:r>
    </w:p>
    <w:p>
      <w:pPr>
        <w:pStyle w:val="ListBullet"/>
      </w:pPr>
      <w:r>
        <w:t>Анализ предметной области, формулирование Use Cases.</w:t>
      </w:r>
    </w:p>
    <w:p>
      <w:pPr>
        <w:pStyle w:val="ListBullet"/>
      </w:pPr>
      <w:r>
        <w:t>Согласование темы и концептуальной схемы данных на 10 сущностей.</w:t>
      </w:r>
    </w:p>
    <w:p>
      <w:pPr>
        <w:pStyle w:val="ListBullet"/>
      </w:pPr>
      <w:r>
        <w:t>Этап 2 (Лабораторная работа 2 — Текущий чекпоинт):</w:t>
      </w:r>
    </w:p>
    <w:p>
      <w:pPr>
        <w:pStyle w:val="ListBullet"/>
      </w:pPr>
      <w:r>
        <w:t>Инициализация репозиториев (frontend, backend, docs).</w:t>
      </w:r>
    </w:p>
    <w:p>
      <w:pPr>
        <w:pStyle w:val="ListBullet"/>
      </w:pPr>
      <w:r>
        <w:t>Фиксация проектной документации и ERD-диаграммы.</w:t>
      </w:r>
    </w:p>
    <w:p>
      <w:pPr>
        <w:pStyle w:val="ListBullet"/>
      </w:pPr>
      <w:r>
        <w:t>Развертывание базового каркаса («Hello World»): статичный HTML/CSS прототип конфигуратора и пустой endpoint бэкенда (GET /api/health).</w:t>
      </w:r>
    </w:p>
    <w:p>
      <w:pPr>
        <w:pStyle w:val="ListBullet"/>
      </w:pPr>
      <w:r>
        <w:t>Этап 3 (Лабораторная работа 3 — MVP):</w:t>
      </w:r>
    </w:p>
    <w:p>
      <w:pPr>
        <w:pStyle w:val="ListBullet"/>
      </w:pPr>
      <w:r>
        <w:t>Проектирование миграций СУБД PostgreSQL через ORM и базовый сидинг каталогов.</w:t>
      </w:r>
    </w:p>
    <w:p>
      <w:pPr>
        <w:pStyle w:val="ListBullet"/>
      </w:pPr>
      <w:r>
        <w:t>Реализация CRUD комплектующих и сборок.</w:t>
      </w:r>
    </w:p>
    <w:p>
      <w:pPr>
        <w:pStyle w:val="ListBullet"/>
      </w:pPr>
      <w:r>
        <w:t>Реализация ядра движка валидации: сокеты (CPU vs Плата) и расчет суммарного TDP vs БП.</w:t>
      </w:r>
    </w:p>
    <w:p>
      <w:pPr>
        <w:pStyle w:val="ListBullet"/>
      </w:pPr>
      <w:r>
        <w:t>Связка клиентской части с API: динамическая загрузка компонентов в слоты.</w:t>
      </w:r>
    </w:p>
    <w:p>
      <w:pPr>
        <w:pStyle w:val="ListBullet"/>
      </w:pPr>
      <w:r>
        <w:t>Этап 4 (Конец семестра — Защита):</w:t>
      </w:r>
    </w:p>
    <w:p>
      <w:pPr>
        <w:pStyle w:val="ListBullet"/>
      </w:pPr>
      <w:r>
        <w:t>Полный набор геометрических валидаций (длина GPU, высота кулера, клиренс RAM).</w:t>
      </w:r>
    </w:p>
    <w:p>
      <w:pPr>
        <w:pStyle w:val="ListBullet"/>
      </w:pPr>
      <w:r>
        <w:t>Реализация генерации пермалинков (share_slug), публичной витрины сборок и комментариев.</w:t>
      </w:r>
    </w:p>
    <w:p>
      <w:pPr>
        <w:pStyle w:val="ListBullet"/>
      </w:pPr>
      <w:r>
        <w:t>Контейнеризация через Docker Compose (с ограничением памяти под Arch Linux 8 ГБ).</w:t>
      </w:r>
    </w:p>
    <w:p>
      <w:pPr>
        <w:pStyle w:val="ListBullet"/>
      </w:pPr>
      <w:r>
        <w:t>Подготовка тестовых сценариев и демонстрация.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