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7B" w:rsidRPr="00883D7F" w:rsidRDefault="002F2E7B" w:rsidP="002F2E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ІНСТРУКЦІЯ</w:t>
      </w:r>
    </w:p>
    <w:p w:rsidR="002F2E7B" w:rsidRPr="00883D7F" w:rsidRDefault="002F2E7B" w:rsidP="002F2E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для медичного застосування лікарського засобу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</w:p>
    <w:p w:rsidR="002F2E7B" w:rsidRPr="00883D7F" w:rsidRDefault="002F2E7B" w:rsidP="002F2E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ПРИОРА</w:t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br/>
        <w:t>(PRIORA)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bookmarkStart w:id="0" w:name="_GoBack"/>
      <w:bookmarkEnd w:id="0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Склад: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 xml:space="preserve">діюча речовина: </w:t>
      </w:r>
      <w:proofErr w:type="spellStart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docosanol</w:t>
      </w:r>
      <w:proofErr w:type="spellEnd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;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1 г крему містить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100 мг;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допоміжні речовини: 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сахароза (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стеарат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та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дистеарат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), олія мінеральна легка,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пропіленгліколь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 спирт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бензиловий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, вода очищена.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Лікарська форма.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 Крем.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Основні фізико-хімічні властивості: 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крем майже білого кольору.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proofErr w:type="spellStart"/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Фармакотерапевтична</w:t>
      </w:r>
      <w:proofErr w:type="spellEnd"/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 xml:space="preserve"> група.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 Хіміотерапевтичні засоби для місцевого застосування. Противірусні засоби.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. Код АТХ D06B B11.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Фармакологічні властивості.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</w:pPr>
      <w:proofErr w:type="spellStart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Фармакодинаміка</w:t>
      </w:r>
      <w:proofErr w:type="spellEnd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Механізм антивірусної активності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до кінця невідомий. Дослідження </w:t>
      </w:r>
      <w:proofErr w:type="spellStart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in</w:t>
      </w:r>
      <w:proofErr w:type="spellEnd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vitro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 показали, що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впливає на злиття вірусу та клітинної оболонки, таким чином, пригнічуючи внутрішньоклітинне поглинання і реплікацію вірусу. У результаті досліджень </w:t>
      </w:r>
      <w:proofErr w:type="spellStart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in</w:t>
      </w:r>
      <w:proofErr w:type="spellEnd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vitro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 встановлено, що клітини, які перебувають під впливом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чинять опір інфікуванню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ліпідно-охоплюючими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вірусами типу HSV-1(вірус простого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герпесу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типу 1).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не чинить дії на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неохоплюючі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віруси.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Фармакокінетика.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За умов, що відображають нормальне клінічне застосування лікарського засобу,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не може бути виміряний (межа кількісного визначення, LOQ = 10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нг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/мл) у плазмі крові пацієнтів.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метаболізується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у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докозанолову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кислоту, свій головний метаболіт.  Як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так і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докозанолова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кислота є ендогенними компонентами оболонок клітин людини, частково еритроцитів, головного мозку, мієлінових оболонок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нерва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легенів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і нирок.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Клінічні характеристики.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Показання.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Ранні стадії (продромальна або еритемна стадія)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рецидивуючої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герпетичної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інфекції  губ у  пацієнтів з нормальним імунітетом.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Протипоказання.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Підвищена чутливість до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або до будь-якого іншого компонента лікарського засобу.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Взаємодія з іншими лікарськими засобами та інші види взаємодій.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Досліджень взаємодії не проводилося, тому не слід застосовувати лікарський засіб одночасно з іншими місцевими лікарськими засобами на одному і тому ж місці.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Особливості застосування.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Слід уникати потрапляння крему в очі або на шкіру навколо них. Лікарський засіб містить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пропіленгліколь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тому може спричинити подразнення шкіри. Крем не слід застосовувати пацієнтам зі зниженим імунітетом. Не слід розпочинати лікування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докозанолом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на стадії вже розвинутого пухиря або виразки.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lastRenderedPageBreak/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Застосування у період вагітності або годування груддю.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Вагітність.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Немає достатніх даних щодо застосування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вагітним жінкам. Дослідження на тваринах не показали прямих або опосередкованих шкідливих ефектів на перебіг вагітності, ембріонального/фетального розвитку, пологів або постнатального розвитку. Оскільки системна дія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незначна,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можна застосовувати у період вагітності.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Період годування груддю.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Інформація щодо застосування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жінкам, які годують груддю, відсутня.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Вплив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на немовлят не передбачається, оскільки системна дія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на жінок, які годують груддю, незначна.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можна застосовувати у період годування груддю.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Здатність впливати на швидкість реакції при керуванні автотранспортом або іншими механізмами.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Унаслідок незначної абсорбції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не впливає на здатність керувати автотранспортом або працювати з іншими механізмами.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Спосіб застосування та дози.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Для нашкірного застосування.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Дорослі та діти віком від 12 років: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 обережно наносити тонким шаром на відкриту поверхню, уражену вірусом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герпесу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5 разів на добу (приблизно кожні 3 години під час неспання). Не слід розпочинати лікування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докозанолом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на стадії вже розвинутого пухиря або виразки. Лікування слід розпочати якнайшвидше після появи перших симптомів або ознак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герпесу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(біль, печіння/поколювання/свербіж або почервоніння). Лікування має тривати  до  настання  одужання,  що  зазвичай  становить  від  4 до 6 днів  або максимум –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10 днів.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Пацієнти літнього віку: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 немає спеціальних рекомендацій щодо дозування.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Дозування при нирковій недостатності: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 немає необхідності у коригуванні дози внаслідок незначної абсорбції при місцевому застосуванні.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Діти.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Відсутній досвід застосування лікарського засобу дітям віком до 12 років, тому його не рекомендується застосовувати пацієнтам даної вікової категорії.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Передозування.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Побічні реакції, пов’язані з передозуванням при місцевому застосуванні лікарського засобу, маловірогідні внаслідок незначної абсорбції через шкіру. При випадковому проковтуванні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докозанолу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виникнення побічних реакцій маловірогідне через слабку пероральну абсорбцію.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Побічні реакції.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Дуже часто (≥10).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Часто (≥1/100 до &lt;1/10).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Нечасто  (≥1000 до &lt;1/100).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Поодиноко  (≥1/10000 до &lt;1/1000).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Рідкісно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(&lt;1/10000), невідомі (не можуть бути визначені з доступних даних).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Результати клінічних досліджень лікування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рецидивуючого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простого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герпесу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губ підтверджують відсутність відмінності у частоті або типі небажаних ефектів у пацієнтів, які лікувалися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Приорою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, кремом або плацебо.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t>Порушення з боку нервової системи: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 дуже часто – головний біль.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i/>
          <w:iCs/>
          <w:color w:val="000000"/>
          <w:sz w:val="24"/>
          <w:szCs w:val="27"/>
          <w:lang w:val="uk-UA" w:eastAsia="ru-RU"/>
        </w:rPr>
        <w:lastRenderedPageBreak/>
        <w:t>Загальні порушення і реакції у місцях нанесення: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  часто – побічні реакції у місці нанесення, що включають сухість шкіри, висипання і подразнення шкіри. Також був зареєстрований набряк обличчя, але ця побічна реакція у місці нанесення є нормальною реакцією на обличчі, пов’язаною з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герпесом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У дослідженнях щодо безпеки застосування не було отримано доказів контактної сенсибілізації або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фотоалергії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7"/>
          <w:lang w:val="uk-UA" w:eastAsia="ru-RU"/>
        </w:rPr>
        <w:t>Термін придатності.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3 роки.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Після першого відкриття упаковки 6 місяців.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Умови зберігання.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Зберігати при температурі не вище 25 °С.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Зберігати у недоступному для дітей місці!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Упаковка.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По 2 г або по 5 г у тубі; по 1 тубі у картонній коробці.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Категорія відпуску.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Без рецепта.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Виробник.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 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Фліт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Лабораторіз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Лімітед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Місцезнаходження виробника та його адреса місця провадження діяльності.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94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Рікменсворд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Роуд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Ветфорд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,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Хертфордшир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, WD18 7JJ, Велика Британія.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szCs w:val="24"/>
          <w:lang w:val="uk-UA" w:eastAsia="ru-RU"/>
        </w:rPr>
      </w:pP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Заявник.</w:t>
      </w: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 Дельта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Медікел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Промоушнз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 АГ.</w:t>
      </w:r>
    </w:p>
    <w:p w:rsidR="002F2E7B" w:rsidRPr="00883D7F" w:rsidRDefault="002F2E7B" w:rsidP="002F2E7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  <w:r w:rsidRPr="00883D7F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val="uk-UA" w:eastAsia="ru-RU"/>
        </w:rPr>
        <w:t>Місцезнаходження заявника.</w:t>
      </w:r>
    </w:p>
    <w:p w:rsidR="002F2E7B" w:rsidRPr="00883D7F" w:rsidRDefault="002F2E7B" w:rsidP="002F2E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 xml:space="preserve">26 </w:t>
      </w:r>
      <w:proofErr w:type="spellStart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Отенбахгассе</w:t>
      </w:r>
      <w:proofErr w:type="spellEnd"/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t>, Цюріх СН-8001, Швейцарія.</w:t>
      </w:r>
    </w:p>
    <w:p w:rsidR="008E78A3" w:rsidRPr="00883D7F" w:rsidRDefault="002F2E7B" w:rsidP="002F2E7B">
      <w:pPr>
        <w:spacing w:after="0" w:line="240" w:lineRule="auto"/>
        <w:rPr>
          <w:sz w:val="20"/>
          <w:lang w:val="uk-UA"/>
        </w:rPr>
      </w:pPr>
      <w:r w:rsidRPr="00883D7F"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ru-RU"/>
        </w:rPr>
        <w:br/>
      </w:r>
    </w:p>
    <w:sectPr w:rsidR="008E78A3" w:rsidRPr="00883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7B"/>
    <w:rsid w:val="002F2E7B"/>
    <w:rsid w:val="00883D7F"/>
    <w:rsid w:val="008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D39CA-F59E-4DFC-9D9E-1ACAAD24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1">
    <w:name w:val="c_11"/>
    <w:basedOn w:val="a"/>
    <w:rsid w:val="002F2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F2E7B"/>
  </w:style>
  <w:style w:type="character" w:styleId="a3">
    <w:name w:val="Hyperlink"/>
    <w:basedOn w:val="a0"/>
    <w:uiPriority w:val="99"/>
    <w:semiHidden/>
    <w:unhideWhenUsed/>
    <w:rsid w:val="002F2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Koblyk</dc:creator>
  <cp:keywords/>
  <dc:description/>
  <cp:lastModifiedBy>Julia Koblyk</cp:lastModifiedBy>
  <cp:revision>3</cp:revision>
  <dcterms:created xsi:type="dcterms:W3CDTF">2017-05-30T12:40:00Z</dcterms:created>
  <dcterms:modified xsi:type="dcterms:W3CDTF">2017-05-30T13:00:00Z</dcterms:modified>
</cp:coreProperties>
</file>