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Groundwater Decline and Depletion (EN → RU)</w:t>
      </w:r>
    </w:p>
    <w:p>
      <w:r>
        <w:rPr>
          <w:b w:val="0"/>
          <w:i w:val="0"/>
          <w:color w:val="595959"/>
          <w:sz w:val="22"/>
        </w:rPr>
        <w:t>Side-by-side translation sample (EN → RU) · Параллельный текст</w:t>
      </w:r>
    </w:p>
    <w:p>
      <w:r>
        <w:rPr>
          <w:b w:val="0"/>
          <w:i w:val="0"/>
          <w:sz w:val="19"/>
        </w:rPr>
        <w:t>Source / Источник: Groundwater Decline and Depletion — U.S. Geological Survey, Water Science School</w:t>
      </w:r>
    </w:p>
    <w:p>
      <w:r>
        <w:rPr>
          <w:b w:val="0"/>
          <w:i w:val="0"/>
          <w:sz w:val="19"/>
        </w:rPr>
        <w:t>URL: https://www.usgs.gov/water-science-school/science/groundwater-decline-and-depletion</w:t>
      </w:r>
    </w:p>
    <w:p>
      <w:r>
        <w:rPr>
          <w:b w:val="0"/>
          <w:i w:val="0"/>
          <w:sz w:val="19"/>
        </w:rPr>
        <w:t>Licence / Лицензия: Public domain (work of the U.S. Geological Survey, a U.S. federal agency; USGS attribution requested, no endorsement implied).</w:t>
      </w:r>
    </w:p>
    <w:p>
      <w:r>
        <w:rPr>
          <w:b w:val="0"/>
          <w:i w:val="0"/>
          <w:sz w:val="19"/>
        </w:rPr>
        <w:t>Retrieved / Получено: 2026-10-19</w:t>
      </w:r>
    </w:p>
    <w:tbl>
      <w:tblPr>
        <w:tblStyle w:val="TableGrid"/>
        <w:tblW w:type="auto" w:w="0"/>
        <w:jc w:val="center"/>
        <w:tblLayout w:type="fixed"/>
        <w:tblLook w:firstColumn="1" w:firstRow="1" w:lastColumn="0" w:lastRow="0" w:noHBand="0" w:noVBand="1" w:val="04A0"/>
      </w:tblPr>
      <w:tblGrid>
        <w:gridCol w:w="7399"/>
        <w:gridCol w:w="7399"/>
      </w:tblGrid>
      <w:tr>
        <w:trPr>
          <w:tblHeader w:val="true"/>
          <w:cantSplit w:val="true"/>
        </w:trPr>
        <w:tc>
          <w:tcPr>
            <w:tcW w:type="dxa" w:w="7398"/>
            <w:shd w:val="clear" w:color="auto" w:fill="D9E2F3"/>
          </w:tcPr>
          <w:p>
            <w:r/>
            <w:r>
              <w:rPr>
                <w:b/>
                <w:sz w:val="20"/>
              </w:rPr>
              <w:t>English (source)</w:t>
            </w:r>
          </w:p>
        </w:tc>
        <w:tc>
          <w:tcPr>
            <w:tcW w:type="dxa" w:w="7398"/>
            <w:shd w:val="clear" w:color="auto" w:fill="D9E2F3"/>
          </w:tcPr>
          <w:p>
            <w:r/>
            <w:r>
              <w:rPr>
                <w:b/>
                <w:sz w:val="20"/>
              </w:rPr>
              <w:t>Русский (перевод)</w:t>
            </w:r>
          </w:p>
        </w:tc>
      </w:tr>
      <w:tr>
        <w:trPr>
          <w:cantSplit w:val="true"/>
        </w:trPr>
        <w:tc>
          <w:tcPr>
            <w:tcW w:type="dxa" w:w="7398"/>
          </w:tcPr>
          <w:p>
            <w:pPr>
              <w:spacing w:after="40"/>
            </w:pPr>
            <w:r/>
            <w:r>
              <w:rPr>
                <w:sz w:val="20"/>
              </w:rPr>
              <w:t>Groundwater is a valuable resource both in the United States and throughout the world. Where surface water, such as lakes and rivers, are scarce or inaccessible, groundwater supplies many of the hydrologic needs of people everywhere. In the United States, it is the source of drinking water for about half the total population and nearly all of the rural population, and it provides over 50 billion gallons per day for agricultural needs. Groundwater depletion, a term often defined as long-term water-level declines caused by sustained groundwater pumping, is a key issue associated with groundwater use. Many areas of the United States are experiencing groundwater depletion.</w:t>
            </w:r>
          </w:p>
        </w:tc>
        <w:tc>
          <w:tcPr>
            <w:tcW w:type="dxa" w:w="7398"/>
          </w:tcPr>
          <w:p>
            <w:pPr>
              <w:spacing w:after="40"/>
            </w:pPr>
            <w:r/>
            <w:r>
              <w:rPr>
                <w:sz w:val="20"/>
              </w:rPr>
              <w:t>Подземные воды — ценный ресурс как в Соединённых Штатах, так и во всём мире. Там, где поверхностные воды (озёра и реки) дефицитны или недоступны, именно подземные воды удовлетворяют значительную часть потребностей людей в воде. В США они служат источником питьевой воды примерно для половины всего населения и почти для всех жителей сельской местности, а для нужд сельского хозяйства дают более 50 миллиардов галлонов в сутки. Истощение подземных вод — этим термином принято называть многолетнее снижение уровня воды, вызванное постоянной откачкой, — является одной из ключевых проблем, связанных с использованием подземных вод. Во многих районах США уже наблюдается истощение подземных вод.</w:t>
            </w:r>
          </w:p>
        </w:tc>
      </w:tr>
      <w:tr>
        <w:trPr>
          <w:cantSplit w:val="true"/>
        </w:trPr>
        <w:tc>
          <w:tcPr>
            <w:tcW w:type="dxa" w:w="7398"/>
          </w:tcPr>
          <w:p>
            <w:pPr>
              <w:spacing w:after="40"/>
            </w:pPr>
            <w:r/>
            <w:r>
              <w:rPr>
                <w:sz w:val="20"/>
              </w:rPr>
              <w:t>The water stored in the ground can be compared to money kept in a bank account. If you withdraw money at a faster rate than you deposit new money you will eventually start having account-supply problems. Pumping water out of the ground faster than it is replenished over the long-term causes similar problems. The volume of groundwater in storage is decreasing in many areas of the United States in response to pumping. Groundwater depletion is primarily caused by sustained groundwater pumping.</w:t>
            </w:r>
          </w:p>
        </w:tc>
        <w:tc>
          <w:tcPr>
            <w:tcW w:type="dxa" w:w="7398"/>
          </w:tcPr>
          <w:p>
            <w:pPr>
              <w:spacing w:after="40"/>
            </w:pPr>
            <w:r/>
            <w:r>
              <w:rPr>
                <w:sz w:val="20"/>
              </w:rPr>
              <w:t>Воду, запасённую в земле, можно сравнить с деньгами на банковском счёте. Если снимать деньги быстрее, чем вносить новые, то рано или поздно возникнут проблемы со счётом. Откачка воды из-под земли быстрее, чем она восполняется в долгосрочной перспективе, приводит к таким же проблемам. Запасы подземных вод во многих районах США сокращаются под действием откачки. Истощение подземных вод вызывается главным образом постоянной откачкой.</w:t>
            </w:r>
          </w:p>
        </w:tc>
      </w:tr>
      <w:tr>
        <w:trPr>
          <w:cantSplit w:val="true"/>
        </w:trPr>
        <w:tc>
          <w:tcPr>
            <w:tcW w:type="dxa" w:w="7398"/>
          </w:tcPr>
          <w:p>
            <w:pPr>
              <w:spacing w:after="40"/>
            </w:pPr>
            <w:r/>
            <w:r>
              <w:rPr>
                <w:sz w:val="20"/>
              </w:rPr>
              <w:t>The most severe consequence of excessive groundwater pumping is that the water table, below which the ground is saturated with water, can be lowered. For water to be withdrawn from the ground, water must be pumped from a well that reaches below the water table. If groundwater levels decline too far, then the well owner might have to deepen the well, drill a new well, or, at least, attempt to lower the pump. Also, as water levels decline, the rate of water the well can yield may decline.</w:t>
            </w:r>
          </w:p>
        </w:tc>
        <w:tc>
          <w:tcPr>
            <w:tcW w:type="dxa" w:w="7398"/>
          </w:tcPr>
          <w:p>
            <w:pPr>
              <w:spacing w:after="40"/>
            </w:pPr>
            <w:r/>
            <w:r>
              <w:rPr>
                <w:sz w:val="20"/>
              </w:rPr>
              <w:t>Самое серьёзное последствие чрезмерной откачки подземных вод — понижение уровня грунтовых вод, то есть границы, ниже которой грунт насыщен водой. Чтобы извлечь воду из земли, её нужно качать из скважины, уходящей глубже уровня грунтовых вод. Если уровень подземных вод опускается слишком низко, владельцу скважины, возможно, придётся углубить её, пробурить новую или, по крайней мере, попытаться опустить насос. Кроме того, по мере понижения уровня воды может снижаться и дебит скважины.</w:t>
            </w:r>
          </w:p>
        </w:tc>
      </w:tr>
      <w:tr>
        <w:trPr>
          <w:cantSplit w:val="true"/>
        </w:trPr>
        <w:tc>
          <w:tcPr>
            <w:tcW w:type="dxa" w:w="7398"/>
          </w:tcPr>
          <w:p>
            <w:pPr>
              <w:spacing w:after="40"/>
            </w:pPr>
            <w:r/>
            <w:r>
              <w:rPr>
                <w:sz w:val="20"/>
              </w:rPr>
              <w:t>Groundwater pumping can alter how water moves between an aquifer and a stream, lake, or wetland by either intercepting groundwater flow that discharges into the surface-water body under natural conditions, or by increasing the rate of water movement from the surface-water body into an aquifer. A related effect of groundwater pumping is the lowering of groundwater levels below the depth that streamside or wetland vegetation needs to survive. The overall effect is a loss of riparian vegetation and wildlife habitat.</w:t>
            </w:r>
          </w:p>
        </w:tc>
        <w:tc>
          <w:tcPr>
            <w:tcW w:type="dxa" w:w="7398"/>
          </w:tcPr>
          <w:p>
            <w:pPr>
              <w:spacing w:after="40"/>
            </w:pPr>
            <w:r/>
            <w:r>
              <w:rPr>
                <w:sz w:val="20"/>
              </w:rPr>
              <w:t>Откачка подземных вод может изменять характер движения воды между водоносным горизонтом и рекой, озером или болотом: либо перехватывая поток подземных вод, который в естественных условиях разгружается в поверхностный водоём, либо ускоряя переток воды из поверхностного водоёма в водоносный горизонт. Связанное с этим следствие откачки — понижение уровня подземных вод ниже глубины, необходимой для выживания прибрежной и болотной растительности. В итоге прибрежная растительность исчезает, а места обитания диких животных ухудшаются.</w:t>
            </w:r>
          </w:p>
        </w:tc>
      </w:tr>
      <w:tr>
        <w:trPr>
          <w:cantSplit w:val="true"/>
        </w:trPr>
        <w:tc>
          <w:tcPr>
            <w:tcW w:type="dxa" w:w="7398"/>
          </w:tcPr>
          <w:p>
            <w:pPr>
              <w:spacing w:after="40"/>
            </w:pPr>
            <w:r/>
            <w:r>
              <w:rPr>
                <w:sz w:val="20"/>
              </w:rPr>
              <w:t>The basic cause of land subsidence is a loss of support below ground. In other words, sometimes when water is taken out of the soil, the soil collapses, compacts, and drops. This depends on several factors, such as the type of soil and rock below the surface. Land subsidence is most often caused by human activities, mainly from the removal of subsurface water.</w:t>
            </w:r>
          </w:p>
        </w:tc>
        <w:tc>
          <w:tcPr>
            <w:tcW w:type="dxa" w:w="7398"/>
          </w:tcPr>
          <w:p>
            <w:pPr>
              <w:spacing w:after="40"/>
            </w:pPr>
            <w:r/>
            <w:r>
              <w:rPr>
                <w:sz w:val="20"/>
              </w:rPr>
              <w:t>Основная причина оседания земной поверхности — потеря опоры под землёй. Иными словами, иногда при извлечении воды из грунта он обрушивается, уплотняется и проседает. Это зависит от ряда факторов, например от типа грунта и горных пород под поверхностью. Оседание земной поверхности чаще всего вызвано деятельностью человека, главным образом извлечением подземных вод.</w:t>
            </w:r>
          </w:p>
        </w:tc>
      </w:tr>
      <w:tr>
        <w:trPr>
          <w:cantSplit w:val="true"/>
        </w:trPr>
        <w:tc>
          <w:tcPr>
            <w:tcW w:type="dxa" w:w="7398"/>
          </w:tcPr>
          <w:p>
            <w:pPr>
              <w:spacing w:after="40"/>
            </w:pPr>
            <w:r/>
            <w:r>
              <w:rPr>
                <w:sz w:val="20"/>
              </w:rPr>
              <w:t>As the depth to water increases, the water must be lifted higher to reach the land surface. If pumps are used to lift the water (as opposed to artesian wells), more energy is required to drive the pump. Using the well can become prohibitively expensive.</w:t>
            </w:r>
          </w:p>
        </w:tc>
        <w:tc>
          <w:tcPr>
            <w:tcW w:type="dxa" w:w="7398"/>
          </w:tcPr>
          <w:p>
            <w:pPr>
              <w:spacing w:after="40"/>
            </w:pPr>
            <w:r/>
            <w:r>
              <w:rPr>
                <w:sz w:val="20"/>
              </w:rPr>
              <w:t>По мере увеличения глубины залегания воды её приходится поднимать выше, чтобы вывести на поверхность. Если для подъёма воды используются насосы (а не артезианские скважины), для привода насоса требуется больше энергии. Эксплуатация скважины может стать непомерно дорогой.</w:t>
            </w:r>
          </w:p>
        </w:tc>
      </w:tr>
      <w:tr>
        <w:trPr>
          <w:cantSplit w:val="true"/>
        </w:trPr>
        <w:tc>
          <w:tcPr>
            <w:tcW w:type="dxa" w:w="7398"/>
          </w:tcPr>
          <w:p>
            <w:pPr>
              <w:spacing w:after="40"/>
            </w:pPr>
            <w:r/>
            <w:r>
              <w:rPr>
                <w:sz w:val="20"/>
              </w:rPr>
              <w:t>One water-quality threat to fresh groundwater supplies is contamination from saltwater intrusion. All the water in the ground is not fresh water; much of the very deep groundwater and water below oceans is saline. In fact, an estimated 3.1 million cubic miles (12.9 cubic kilometers) of saline groundwater exists compared to about 2.6 million cubic miles (10.5 million cubic kilometers) of fresh groundwater (Gleick, P. H., 1996: Water resources. In Encyclopedia of Climate and Weather, ed. by S. H. Schneider, Oxford University Press, New York, vol. 2, pp. 817-823). Under natural conditions the boundary between the freshwater and saltwater tends to be relatively stable, but pumping can cause saltwater to migrate inland and upward, resulting in saltwater contamination of the water supply.</w:t>
            </w:r>
          </w:p>
        </w:tc>
        <w:tc>
          <w:tcPr>
            <w:tcW w:type="dxa" w:w="7398"/>
          </w:tcPr>
          <w:p>
            <w:pPr>
              <w:spacing w:after="40"/>
            </w:pPr>
            <w:r/>
            <w:r>
              <w:rPr>
                <w:sz w:val="20"/>
              </w:rPr>
              <w:t>Одна из угроз качеству пресных подземных вод — загрязнение в результате вторжения солёных вод. Не вся вода под землёй пресная: значительная часть очень глубоких подземных вод и вод под океанами солёная. По оценкам, объём солёных подземных вод составляет 3,1 млн кубических миль (12,9 млн кубических километров), тогда как пресных — около 2,6 млн кубических миль (10,5 млн кубических километров) (Gleick, P. H., 1996: Water resources. In Encyclopedia of Climate and Weather, ed. by S. H. Schneider, Oxford University Press, New York, vol. 2, pp. 817-823). В естественных условиях граница между пресной и солёной водой, как правило, относительно устойчива, однако откачка может заставить солёную воду продвигаться вглубь суши и вверх, что приводит к загрязнению солёной водой источников водоснабжения.</w:t>
            </w:r>
          </w:p>
        </w:tc>
      </w:tr>
    </w:tbl>
    <w:p/>
    <w:p>
      <w:pPr>
        <w:pStyle w:val="Heading1"/>
      </w:pPr>
      <w:r>
        <w:rPr>
          <w:b w:val="0"/>
          <w:i w:val="0"/>
        </w:rPr>
        <w:t>Глоссарий / Glossary</w:t>
      </w:r>
    </w:p>
    <w:tbl>
      <w:tblPr>
        <w:tblStyle w:val="TableGrid"/>
        <w:tblW w:type="auto" w:w="0"/>
        <w:jc w:val="center"/>
        <w:tblLayout w:type="fixed"/>
        <w:tblLook w:firstColumn="1" w:firstRow="1" w:lastColumn="0" w:lastRow="0" w:noHBand="0" w:noVBand="1" w:val="04A0"/>
      </w:tblPr>
      <w:tblGrid>
        <w:gridCol w:w="4933"/>
        <w:gridCol w:w="4933"/>
        <w:gridCol w:w="4933"/>
      </w:tblGrid>
      <w:tr>
        <w:trPr>
          <w:tblHeader w:val="true"/>
          <w:cantSplit w:val="true"/>
        </w:trPr>
        <w:tc>
          <w:tcPr>
            <w:tcW w:type="dxa" w:w="3402"/>
            <w:shd w:val="clear" w:color="auto" w:fill="D9E2F3"/>
          </w:tcPr>
          <w:p>
            <w:r/>
            <w:r>
              <w:rPr>
                <w:b/>
                <w:sz w:val="19"/>
              </w:rPr>
              <w:t>Source term</w:t>
            </w:r>
          </w:p>
        </w:tc>
        <w:tc>
          <w:tcPr>
            <w:tcW w:type="dxa" w:w="3402"/>
            <w:shd w:val="clear" w:color="auto" w:fill="D9E2F3"/>
          </w:tcPr>
          <w:p>
            <w:r/>
            <w:r>
              <w:rPr>
                <w:b/>
                <w:sz w:val="19"/>
              </w:rPr>
              <w:t>Translation</w:t>
            </w:r>
          </w:p>
        </w:tc>
        <w:tc>
          <w:tcPr>
            <w:tcW w:type="dxa" w:w="7994"/>
            <w:shd w:val="clear" w:color="auto" w:fill="D9E2F3"/>
          </w:tcPr>
          <w:p>
            <w:r/>
            <w:r>
              <w:rPr>
                <w:b/>
                <w:sz w:val="19"/>
              </w:rPr>
              <w:t>Note</w:t>
            </w:r>
          </w:p>
        </w:tc>
      </w:tr>
      <w:tr>
        <w:trPr>
          <w:cantSplit w:val="true"/>
        </w:trPr>
        <w:tc>
          <w:tcPr>
            <w:tcW w:type="dxa" w:w="3402"/>
          </w:tcPr>
          <w:p>
            <w:pPr>
              <w:spacing w:after="40"/>
            </w:pPr>
            <w:r/>
            <w:r>
              <w:rPr>
                <w:sz w:val="19"/>
              </w:rPr>
              <w:t>groundwater</w:t>
            </w:r>
          </w:p>
        </w:tc>
        <w:tc>
          <w:tcPr>
            <w:tcW w:type="dxa" w:w="3402"/>
          </w:tcPr>
          <w:p>
            <w:pPr>
              <w:spacing w:after="40"/>
            </w:pPr>
            <w:r/>
            <w:r>
              <w:rPr>
                <w:sz w:val="19"/>
              </w:rPr>
              <w:t>подземные воды</w:t>
            </w:r>
          </w:p>
        </w:tc>
        <w:tc>
          <w:tcPr>
            <w:tcW w:type="dxa" w:w="7994"/>
          </w:tcPr>
          <w:p>
            <w:pPr>
              <w:spacing w:after="40"/>
            </w:pPr>
            <w:r/>
            <w:r>
              <w:rPr>
                <w:sz w:val="19"/>
              </w:rPr>
              <w:t>Used as the umbrella term; the narrower «грунтовые воды» is kept only for “water table”.</w:t>
            </w:r>
          </w:p>
        </w:tc>
      </w:tr>
      <w:tr>
        <w:trPr>
          <w:cantSplit w:val="true"/>
        </w:trPr>
        <w:tc>
          <w:tcPr>
            <w:tcW w:type="dxa" w:w="3402"/>
          </w:tcPr>
          <w:p>
            <w:pPr>
              <w:spacing w:after="40"/>
            </w:pPr>
            <w:r/>
            <w:r>
              <w:rPr>
                <w:sz w:val="19"/>
              </w:rPr>
              <w:t>water table</w:t>
            </w:r>
          </w:p>
        </w:tc>
        <w:tc>
          <w:tcPr>
            <w:tcW w:type="dxa" w:w="3402"/>
          </w:tcPr>
          <w:p>
            <w:pPr>
              <w:spacing w:after="40"/>
            </w:pPr>
            <w:r/>
            <w:r>
              <w:rPr>
                <w:sz w:val="19"/>
              </w:rPr>
              <w:t>уровень грунтовых вод</w:t>
            </w:r>
          </w:p>
        </w:tc>
        <w:tc>
          <w:tcPr>
            <w:tcW w:type="dxa" w:w="7994"/>
          </w:tcPr>
          <w:p>
            <w:pPr>
              <w:spacing w:after="40"/>
            </w:pPr>
            <w:r/>
            <w:r>
              <w:rPr>
                <w:sz w:val="19"/>
              </w:rPr>
              <w:t>Hydrogeological term; defined in the source as the level below which the ground is saturated.</w:t>
            </w:r>
          </w:p>
        </w:tc>
      </w:tr>
      <w:tr>
        <w:trPr>
          <w:cantSplit w:val="true"/>
        </w:trPr>
        <w:tc>
          <w:tcPr>
            <w:tcW w:type="dxa" w:w="3402"/>
          </w:tcPr>
          <w:p>
            <w:pPr>
              <w:spacing w:after="40"/>
            </w:pPr>
            <w:r/>
            <w:r>
              <w:rPr>
                <w:sz w:val="19"/>
              </w:rPr>
              <w:t>aquifer</w:t>
            </w:r>
          </w:p>
        </w:tc>
        <w:tc>
          <w:tcPr>
            <w:tcW w:type="dxa" w:w="3402"/>
          </w:tcPr>
          <w:p>
            <w:pPr>
              <w:spacing w:after="40"/>
            </w:pPr>
            <w:r/>
            <w:r>
              <w:rPr>
                <w:sz w:val="19"/>
              </w:rPr>
              <w:t>водоносный горизонт</w:t>
            </w:r>
          </w:p>
        </w:tc>
        <w:tc>
          <w:tcPr>
            <w:tcW w:type="dxa" w:w="7994"/>
          </w:tcPr>
          <w:p>
            <w:pPr>
              <w:spacing w:after="40"/>
            </w:pPr>
            <w:r/>
            <w:r>
              <w:rPr>
                <w:sz w:val="19"/>
              </w:rPr>
              <w:t>Standard Russian hydrogeology term.</w:t>
            </w:r>
          </w:p>
        </w:tc>
      </w:tr>
      <w:tr>
        <w:trPr>
          <w:cantSplit w:val="true"/>
        </w:trPr>
        <w:tc>
          <w:tcPr>
            <w:tcW w:type="dxa" w:w="3402"/>
          </w:tcPr>
          <w:p>
            <w:pPr>
              <w:spacing w:after="40"/>
            </w:pPr>
            <w:r/>
            <w:r>
              <w:rPr>
                <w:sz w:val="19"/>
              </w:rPr>
              <w:t>well</w:t>
            </w:r>
          </w:p>
        </w:tc>
        <w:tc>
          <w:tcPr>
            <w:tcW w:type="dxa" w:w="3402"/>
          </w:tcPr>
          <w:p>
            <w:pPr>
              <w:spacing w:after="40"/>
            </w:pPr>
            <w:r/>
            <w:r>
              <w:rPr>
                <w:sz w:val="19"/>
              </w:rPr>
              <w:t>скважина</w:t>
            </w:r>
          </w:p>
        </w:tc>
        <w:tc>
          <w:tcPr>
            <w:tcW w:type="dxa" w:w="7994"/>
          </w:tcPr>
          <w:p>
            <w:pPr>
              <w:spacing w:after="40"/>
            </w:pPr>
            <w:r/>
            <w:r>
              <w:rPr>
                <w:sz w:val="19"/>
              </w:rPr>
              <w:t>Drilled water well (not «колодец»): the text speaks of deepening, drilling and pumping.</w:t>
            </w:r>
          </w:p>
        </w:tc>
      </w:tr>
      <w:tr>
        <w:trPr>
          <w:cantSplit w:val="true"/>
        </w:trPr>
        <w:tc>
          <w:tcPr>
            <w:tcW w:type="dxa" w:w="3402"/>
          </w:tcPr>
          <w:p>
            <w:pPr>
              <w:spacing w:after="40"/>
            </w:pPr>
            <w:r/>
            <w:r>
              <w:rPr>
                <w:sz w:val="19"/>
              </w:rPr>
              <w:t>yield (of a well)</w:t>
            </w:r>
          </w:p>
        </w:tc>
        <w:tc>
          <w:tcPr>
            <w:tcW w:type="dxa" w:w="3402"/>
          </w:tcPr>
          <w:p>
            <w:pPr>
              <w:spacing w:after="40"/>
            </w:pPr>
            <w:r/>
            <w:r>
              <w:rPr>
                <w:sz w:val="19"/>
              </w:rPr>
              <w:t>дебит</w:t>
            </w:r>
          </w:p>
        </w:tc>
        <w:tc>
          <w:tcPr>
            <w:tcW w:type="dxa" w:w="7994"/>
          </w:tcPr>
          <w:p>
            <w:pPr>
              <w:spacing w:after="40"/>
            </w:pPr>
            <w:r/>
            <w:r>
              <w:rPr>
                <w:sz w:val="19"/>
              </w:rPr>
              <w:t>Standard term for a well’s output rate.</w:t>
            </w:r>
          </w:p>
        </w:tc>
      </w:tr>
      <w:tr>
        <w:trPr>
          <w:cantSplit w:val="true"/>
        </w:trPr>
        <w:tc>
          <w:tcPr>
            <w:tcW w:type="dxa" w:w="3402"/>
          </w:tcPr>
          <w:p>
            <w:pPr>
              <w:spacing w:after="40"/>
            </w:pPr>
            <w:r/>
            <w:r>
              <w:rPr>
                <w:sz w:val="19"/>
              </w:rPr>
              <w:t>depletion</w:t>
            </w:r>
          </w:p>
        </w:tc>
        <w:tc>
          <w:tcPr>
            <w:tcW w:type="dxa" w:w="3402"/>
          </w:tcPr>
          <w:p>
            <w:pPr>
              <w:spacing w:after="40"/>
            </w:pPr>
            <w:r/>
            <w:r>
              <w:rPr>
                <w:sz w:val="19"/>
              </w:rPr>
              <w:t>истощение</w:t>
            </w:r>
          </w:p>
        </w:tc>
        <w:tc>
          <w:tcPr>
            <w:tcW w:type="dxa" w:w="7994"/>
          </w:tcPr>
          <w:p>
            <w:pPr>
              <w:spacing w:after="40"/>
            </w:pPr>
            <w:r/>
            <w:r>
              <w:rPr>
                <w:sz w:val="19"/>
              </w:rPr>
              <w:t>“Groundwater depletion” = истощение подземных вод.</w:t>
            </w:r>
          </w:p>
        </w:tc>
      </w:tr>
      <w:tr>
        <w:trPr>
          <w:cantSplit w:val="true"/>
        </w:trPr>
        <w:tc>
          <w:tcPr>
            <w:tcW w:type="dxa" w:w="3402"/>
          </w:tcPr>
          <w:p>
            <w:pPr>
              <w:spacing w:after="40"/>
            </w:pPr>
            <w:r/>
            <w:r>
              <w:rPr>
                <w:sz w:val="19"/>
              </w:rPr>
              <w:t>land subsidence</w:t>
            </w:r>
          </w:p>
        </w:tc>
        <w:tc>
          <w:tcPr>
            <w:tcW w:type="dxa" w:w="3402"/>
          </w:tcPr>
          <w:p>
            <w:pPr>
              <w:spacing w:after="40"/>
            </w:pPr>
            <w:r/>
            <w:r>
              <w:rPr>
                <w:sz w:val="19"/>
              </w:rPr>
              <w:t>оседание земной поверхности</w:t>
            </w:r>
          </w:p>
        </w:tc>
        <w:tc>
          <w:tcPr>
            <w:tcW w:type="dxa" w:w="7994"/>
          </w:tcPr>
          <w:p>
            <w:pPr>
              <w:spacing w:after="40"/>
            </w:pPr>
            <w:r/>
            <w:r>
              <w:rPr>
                <w:sz w:val="19"/>
              </w:rPr>
              <w:t>Alternative in the same register: «просадка грунта».</w:t>
            </w:r>
          </w:p>
        </w:tc>
      </w:tr>
      <w:tr>
        <w:trPr>
          <w:cantSplit w:val="true"/>
        </w:trPr>
        <w:tc>
          <w:tcPr>
            <w:tcW w:type="dxa" w:w="3402"/>
          </w:tcPr>
          <w:p>
            <w:pPr>
              <w:spacing w:after="40"/>
            </w:pPr>
            <w:r/>
            <w:r>
              <w:rPr>
                <w:sz w:val="19"/>
              </w:rPr>
              <w:t>riparian vegetation</w:t>
            </w:r>
          </w:p>
        </w:tc>
        <w:tc>
          <w:tcPr>
            <w:tcW w:type="dxa" w:w="3402"/>
          </w:tcPr>
          <w:p>
            <w:pPr>
              <w:spacing w:after="40"/>
            </w:pPr>
            <w:r/>
            <w:r>
              <w:rPr>
                <w:sz w:val="19"/>
              </w:rPr>
              <w:t>прибрежная растительность</w:t>
            </w:r>
          </w:p>
        </w:tc>
        <w:tc>
          <w:tcPr>
            <w:tcW w:type="dxa" w:w="7994"/>
          </w:tcPr>
          <w:p>
            <w:pPr>
              <w:spacing w:after="40"/>
            </w:pPr>
            <w:r/>
            <w:r>
              <w:rPr>
                <w:sz w:val="19"/>
              </w:rPr>
              <w:t>“Riparian” = of a river bank; wetland = болото in the body text.</w:t>
            </w:r>
          </w:p>
        </w:tc>
      </w:tr>
      <w:tr>
        <w:trPr>
          <w:cantSplit w:val="true"/>
        </w:trPr>
        <w:tc>
          <w:tcPr>
            <w:tcW w:type="dxa" w:w="3402"/>
          </w:tcPr>
          <w:p>
            <w:pPr>
              <w:spacing w:after="40"/>
            </w:pPr>
            <w:r/>
            <w:r>
              <w:rPr>
                <w:sz w:val="19"/>
              </w:rPr>
              <w:t>saltwater intrusion</w:t>
            </w:r>
          </w:p>
        </w:tc>
        <w:tc>
          <w:tcPr>
            <w:tcW w:type="dxa" w:w="3402"/>
          </w:tcPr>
          <w:p>
            <w:pPr>
              <w:spacing w:after="40"/>
            </w:pPr>
            <w:r/>
            <w:r>
              <w:rPr>
                <w:sz w:val="19"/>
              </w:rPr>
              <w:t>вторжение солёных вод</w:t>
            </w:r>
          </w:p>
        </w:tc>
        <w:tc>
          <w:tcPr>
            <w:tcW w:type="dxa" w:w="7994"/>
          </w:tcPr>
          <w:p>
            <w:pPr>
              <w:spacing w:after="40"/>
            </w:pPr>
            <w:r/>
            <w:r>
              <w:rPr>
                <w:sz w:val="19"/>
              </w:rPr>
              <w:t>Term used in Russian hydrogeology for inflow of saline water into a fresh aquifer.</w:t>
            </w:r>
          </w:p>
        </w:tc>
      </w:tr>
      <w:tr>
        <w:trPr>
          <w:cantSplit w:val="true"/>
        </w:trPr>
        <w:tc>
          <w:tcPr>
            <w:tcW w:type="dxa" w:w="3402"/>
          </w:tcPr>
          <w:p>
            <w:pPr>
              <w:spacing w:after="40"/>
            </w:pPr>
            <w:r/>
            <w:r>
              <w:rPr>
                <w:sz w:val="19"/>
              </w:rPr>
              <w:t>recharge</w:t>
            </w:r>
          </w:p>
        </w:tc>
        <w:tc>
          <w:tcPr>
            <w:tcW w:type="dxa" w:w="3402"/>
          </w:tcPr>
          <w:p>
            <w:pPr>
              <w:spacing w:after="40"/>
            </w:pPr>
            <w:r/>
            <w:r>
              <w:rPr>
                <w:sz w:val="19"/>
              </w:rPr>
              <w:t>восполняться / восполняется</w:t>
            </w:r>
          </w:p>
        </w:tc>
        <w:tc>
          <w:tcPr>
            <w:tcW w:type="dxa" w:w="7994"/>
          </w:tcPr>
          <w:p>
            <w:pPr>
              <w:spacing w:after="40"/>
            </w:pPr>
            <w:r/>
            <w:r>
              <w:rPr>
                <w:sz w:val="19"/>
              </w:rPr>
              <w:t>Verb form chosen for “is recharged / replenished”.</w:t>
            </w:r>
          </w:p>
        </w:tc>
      </w:tr>
      <w:tr>
        <w:trPr>
          <w:cantSplit w:val="true"/>
        </w:trPr>
        <w:tc>
          <w:tcPr>
            <w:tcW w:type="dxa" w:w="3402"/>
          </w:tcPr>
          <w:p>
            <w:pPr>
              <w:spacing w:after="40"/>
            </w:pPr>
            <w:r/>
            <w:r>
              <w:rPr>
                <w:sz w:val="19"/>
              </w:rPr>
              <w:t>artesian well</w:t>
            </w:r>
          </w:p>
        </w:tc>
        <w:tc>
          <w:tcPr>
            <w:tcW w:type="dxa" w:w="3402"/>
          </w:tcPr>
          <w:p>
            <w:pPr>
              <w:spacing w:after="40"/>
            </w:pPr>
            <w:r/>
            <w:r>
              <w:rPr>
                <w:sz w:val="19"/>
              </w:rPr>
              <w:t>артезианская скважина</w:t>
            </w:r>
          </w:p>
        </w:tc>
        <w:tc>
          <w:tcPr>
            <w:tcW w:type="dxa" w:w="7994"/>
          </w:tcPr>
          <w:p>
            <w:pPr>
              <w:spacing w:after="40"/>
            </w:pPr>
            <w:r/>
            <w:r>
              <w:rPr>
                <w:sz w:val="19"/>
              </w:rPr>
              <w:t>Self-flowing well, no pump needed.</w:t>
            </w:r>
          </w:p>
        </w:tc>
      </w:tr>
      <w:tr>
        <w:trPr>
          <w:cantSplit w:val="true"/>
        </w:trPr>
        <w:tc>
          <w:tcPr>
            <w:tcW w:type="dxa" w:w="3402"/>
          </w:tcPr>
          <w:p>
            <w:pPr>
              <w:spacing w:after="40"/>
            </w:pPr>
            <w:r/>
            <w:r>
              <w:rPr>
                <w:sz w:val="19"/>
              </w:rPr>
              <w:t>cubic mile / gallon</w:t>
            </w:r>
          </w:p>
        </w:tc>
        <w:tc>
          <w:tcPr>
            <w:tcW w:type="dxa" w:w="3402"/>
          </w:tcPr>
          <w:p>
            <w:pPr>
              <w:spacing w:after="40"/>
            </w:pPr>
            <w:r/>
            <w:r>
              <w:rPr>
                <w:sz w:val="19"/>
              </w:rPr>
              <w:t>кубическая миля / галлон</w:t>
            </w:r>
          </w:p>
        </w:tc>
        <w:tc>
          <w:tcPr>
            <w:tcW w:type="dxa" w:w="7994"/>
          </w:tcPr>
          <w:p>
            <w:pPr>
              <w:spacing w:after="40"/>
            </w:pPr>
            <w:r/>
            <w:r>
              <w:rPr>
                <w:sz w:val="19"/>
              </w:rPr>
              <w:t>Units kept as in the source (US usage): 1 US gallon = 3.785 L, 1 mile = 1.609 km.</w:t>
            </w:r>
          </w:p>
        </w:tc>
      </w:tr>
    </w:tbl>
    <w:p/>
    <w:p>
      <w:pPr>
        <w:pStyle w:val="Heading1"/>
      </w:pPr>
      <w:r>
        <w:rPr>
          <w:b w:val="0"/>
          <w:i w:val="0"/>
        </w:rPr>
        <w:t>Примечания переводчика / Translator's notes</w:t>
      </w:r>
    </w:p>
    <w:p>
      <w:pPr>
        <w:pStyle w:val="ListBullet"/>
      </w:pPr>
      <w:r>
        <w:rPr>
          <w:b w:val="0"/>
          <w:i w:val="0"/>
          <w:sz w:val="20"/>
        </w:rPr>
        <w:t>Excerpt of seven paragraphs from the page “Groundwater Decline and Depletion”; the closing sentence of paragraph 2 (“Some of the negative effects …:”) is omitted because it introduced a bulleted list that is not part of the excerpt.</w:t>
      </w:r>
    </w:p>
    <w:p>
      <w:pPr>
        <w:pStyle w:val="ListBullet"/>
      </w:pPr>
      <w:r>
        <w:rPr>
          <w:b w:val="0"/>
          <w:i w:val="0"/>
          <w:sz w:val="20"/>
        </w:rPr>
        <w:t>Source inconsistency flagged (not silently corrected): the source says “12.9 cubic kilometers”, which should read “12.9 million cubic kilometers” (3.1 million cubic miles ≈ 12.9 million km³). The Russian text gives “12,9 млн кубических километров”. The fresh-water pair (2.6 million mi³ / 10.5 million km³) is also slightly inconsistent in the source (10.5 million km³ ≈ 2.5 million mi³) and is reproduced as written.</w:t>
      </w:r>
    </w:p>
    <w:p>
      <w:pPr>
        <w:pStyle w:val="ListBullet"/>
      </w:pPr>
      <w:r>
        <w:rPr>
          <w:b w:val="0"/>
          <w:i w:val="0"/>
          <w:sz w:val="20"/>
        </w:rPr>
        <w:t>Russian number format: decimal comma (3,1); “50 billion” = 50 миллиардов (Russian миллиард = 10^9, like the US billion), so no conversion of scale is needed.</w:t>
      </w:r>
    </w:p>
    <w:p>
      <w:pPr>
        <w:pStyle w:val="ListBullet"/>
      </w:pPr>
      <w:r>
        <w:rPr>
          <w:b w:val="0"/>
          <w:i w:val="0"/>
          <w:sz w:val="20"/>
        </w:rPr>
        <w:t>The bibliographic reference (Gleick, 1996) is left in the original language, as is standard for citations; it is the only Latin text in the Russian version.</w:t>
      </w:r>
    </w:p>
    <w:p>
      <w:pPr>
        <w:pStyle w:val="ListBullet"/>
      </w:pPr>
      <w:r>
        <w:rPr>
          <w:b w:val="0"/>
          <w:i w:val="0"/>
          <w:sz w:val="20"/>
        </w:rPr>
        <w:t>Bank-account analogy preserved; “lowering the pump” = «опустить насос»; “prohibitively expensive” = «непомерно дорогой».</w:t>
      </w:r>
    </w:p>
    <w:p>
      <w:pPr>
        <w:pStyle w:val="Heading1"/>
      </w:pPr>
      <w:r>
        <w:rPr>
          <w:b w:val="0"/>
          <w:i w:val="0"/>
        </w:rPr>
        <w:t>Контроль качества / QA pass</w:t>
      </w:r>
    </w:p>
    <w:p>
      <w:pPr>
        <w:pStyle w:val="ListBullet"/>
      </w:pPr>
      <w:r>
        <w:rPr>
          <w:b w:val="0"/>
          <w:i w:val="0"/>
          <w:sz w:val="20"/>
        </w:rPr>
        <w:t>Numbers: 9 numeric tokens in the source; the multiset of numbers matches the translation in every one of the 7 paragraphs (automated check, run by build_samples.py; the numerals are compared after normalising roman/ordinal forms, thousand separators and decimal signs).</w:t>
      </w:r>
    </w:p>
    <w:p>
      <w:pPr>
        <w:pStyle w:val="ListBullet"/>
      </w:pPr>
      <w:r>
        <w:rPr>
          <w:b w:val="0"/>
          <w:i w:val="0"/>
          <w:sz w:val="20"/>
        </w:rPr>
        <w:t>Untranslated words: Latin words in the Russian text outside the verbatim citation: 0.</w:t>
      </w:r>
    </w:p>
    <w:p>
      <w:pPr>
        <w:pStyle w:val="ListBullet"/>
      </w:pPr>
      <w:r>
        <w:rPr>
          <w:b w:val="0"/>
          <w:i w:val="0"/>
          <w:sz w:val="20"/>
        </w:rPr>
        <w:t>Glossary: 12 of 12 glossary renderings are present in the translation (consistency check).</w:t>
      </w:r>
    </w:p>
    <w:p>
      <w:pPr>
        <w:pStyle w:val="ListBullet"/>
      </w:pPr>
      <w:r>
        <w:rPr>
          <w:b w:val="0"/>
          <w:i w:val="0"/>
          <w:sz w:val="20"/>
        </w:rPr>
        <w:t>Length: source 584 words, translation 502 words.</w:t>
      </w:r>
    </w:p>
    <w:p>
      <w:pPr>
        <w:pStyle w:val="ListBullet"/>
      </w:pPr>
      <w:r>
        <w:rPr>
          <w:b w:val="0"/>
          <w:i w:val="0"/>
          <w:sz w:val="20"/>
        </w:rPr>
        <w:t>Names, units and number words: checked by hand against the source (see the notes).</w:t>
      </w:r>
    </w:p>
    <w:sectPr w:rsidR="00FC693F" w:rsidRPr="0006063C" w:rsidSect="00034616">
      <w:footerReference w:type="default" r:id="rId9"/>
      <w:pgSz w:w="16838" w:h="11906"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Демонстрационный образец для портфолио · автор: Максим · не является работой для клиента | Portfolio demonstration sample · author: Maxim · not client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Decline and Depletion (EN → RU)</dc:title>
  <dc:subject/>
  <dc:creator>Максим</dc:creator>
  <cp:keywords/>
  <dc:description>generated by python-docx</dc:description>
  <cp:lastModifiedBy>Максим</cp:lastModifiedBy>
  <cp:revision>1</cp:revision>
  <dcterms:created xsi:type="dcterms:W3CDTF">2026-10-19T12:00:00Z</dcterms:created>
  <dcterms:modified xsi:type="dcterms:W3CDTF">2026-10-19T12:00:00Z</dcterms:modified>
  <cp:category/>
</cp:coreProperties>
</file>