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Two-Week Trading Review (1–13 June 2026)</w:t>
      </w:r>
    </w:p>
    <w:p>
      <w:pPr>
        <w:spacing w:after="200"/>
      </w:pPr>
      <w:r>
        <w:rPr>
          <w:i/>
          <w:iCs/>
          <w:color w:val="595959"/>
          <w:sz w:val="22"/>
          <w:szCs w:val="22"/>
        </w:rPr>
        <w:t xml:space="preserve">What each strategy did, why some lost money, and what we’ve already fixed for the week ahead</w:t>
      </w:r>
    </w:p>
    <w:p>
      <w:pPr>
        <w:pStyle w:val="Heading2"/>
      </w:pPr>
      <w:r>
        <w:t xml:space="preserve">The big picture</w:t>
      </w:r>
    </w:p>
    <w:p>
      <w:pPr>
        <w:spacing w:after="60"/>
      </w:pPr>
      <w:r>
        <w:rPr>
          <w:sz w:val="20"/>
          <w:szCs w:val="20"/>
        </w:rPr>
        <w:t xml:space="preserve">Over the last two weeks we test-ran 5 different automated trading “tricks” (strategies) on demo accounts — no real money was at risk. Across 577 real trades, the combined result was a loss of about 1,418.51 AED (roughly $386), with about 1 in 3 trades (35.9%) winning.</w:t>
      </w:r>
    </w:p>
    <w:p>
      <w:pPr>
        <w:spacing w:after="60"/>
      </w:pPr>
      <w:r>
        <w:rPr>
          <w:sz w:val="20"/>
          <w:szCs w:val="20"/>
        </w:rPr>
        <w:t xml:space="preserve">The good news: almost the entire loss came from just ONE trick, and mostly from trades made in ONE direction (buying). That is exactly the problem we’ve spent the last few days fixing, and the fixed version went live today (14 June) for a 2-week trial.</w:t>
      </w:r>
    </w:p>
    <w:p>
      <w:pPr>
        <w:pStyle w:val="Heading2"/>
      </w:pPr>
      <w:r>
        <w:t xml:space="preserve">The 5 tricks we tried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800"/>
        <w:gridCol w:w="900"/>
        <w:gridCol w:w="1200"/>
        <w:gridCol w:w="12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The “trick” (strategy)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it tries to do</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Trades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Win rate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Money result (AED)</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 Round Number Bounce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Bet that gold’s price would bounce off “round” price levels (like 3,300 or 3,350)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C00000"/>
                <w:sz w:val="20"/>
                <w:szCs w:val="20"/>
              </w:rPr>
              <w:t xml:space="preserve">-1,293.29</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Biggest loser — now fixed &amp; relaunched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 Breakout &amp; Re-test (clean copy)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Wait for price to break out of a range, then re-test that level before entering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E7D32"/>
                <w:sz w:val="20"/>
                <w:szCs w:val="20"/>
              </w:rPr>
              <w:t xml:space="preserve">+748.54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Working well — left 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3. Breakout &amp; Re-test (3 extra test copies)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Same idea as #2, but run as 3 extra side-by-side test copies at once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C00000"/>
                <w:sz w:val="20"/>
                <w:szCs w:val="20"/>
              </w:rPr>
              <w:t xml:space="preserve">-869.02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Crowding problem — not yet repaired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4. Swing Breakout Re-test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Look for a swing high/low break before entering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E7D32"/>
                <w:sz w:val="20"/>
                <w:szCs w:val="20"/>
              </w:rPr>
              <w:t xml:space="preserve">+41.44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 few trades to judge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 Session Extreme Bounce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Bet that price reverses after an extreme move in a trading session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E7D32"/>
                <w:sz w:val="20"/>
                <w:szCs w:val="20"/>
              </w:rPr>
              <w:t xml:space="preserve">+27.82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Slightly profitable — candidate for a future 3rd guarded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 Evening Breakout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Bet on a breakout during the evening session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C00000"/>
                <w:sz w:val="20"/>
                <w:szCs w:val="20"/>
              </w:rPr>
              <w:t xml:space="preserve">-74.00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Already shut down after review</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TOTAL</w:t>
            </w:r>
          </w:p>
        </w:tc>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577</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35.9%</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color w:val="C00000"/>
                <w:sz w:val="20"/>
                <w:szCs w:val="20"/>
              </w:rPr>
              <w:t xml:space="preserve">-1,418.51</w:t>
            </w:r>
          </w:p>
        </w:tc>
        <w:tc>
          <w:tcPr>
            <w:tcW w:type="dxa" w:w="12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val="false"/>
                <w:bCs w:val="false"/>
                <w:sz w:val="20"/>
                <w:szCs w:val="20"/>
              </w:rPr>
              <w:t xml:space="preserve"/>
            </w:r>
          </w:p>
        </w:tc>
      </w:tr>
    </w:tbl>
    <w:p>
      <w:pPr>
        <w:spacing w:before="120"/>
      </w:pPr>
      <w:r>
        <w:rPr>
          <w:i/>
          <w:iCs/>
          <w:color w:val="595959"/>
          <w:sz w:val="18"/>
          <w:szCs w:val="18"/>
        </w:rPr>
        <w:t xml:space="preserve">Note: “Breakout &amp; Re-test” is one underlying idea, shown as two rows because the same strategy performed very differently depending on how many copies of it were running at once (see Issue B below).</w:t>
      </w:r>
    </w:p>
    <w:p>
      <w:pPr>
        <w:pStyle w:val="Heading2"/>
        <w:spacing w:after="120" w:before="300"/>
      </w:pPr>
      <w:r>
        <w:t xml:space="preserve">Why we lost money — and what’s being done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Issue</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happened, why, and the fix</w:t>
            </w:r>
          </w:p>
        </w:tc>
      </w:tr>
      <w:tr>
        <w:tc>
          <w:tcPr>
            <w:tcW w:type="dxa" w:w="2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b/>
                <w:bCs/>
                <w:sz w:val="20"/>
                <w:szCs w:val="20"/>
              </w:rPr>
              <w:t xml:space="preserve">A. Round Number Bounce — “buying the falling knife”</w:t>
            </w:r>
          </w:p>
        </w:tc>
        <w:tc>
          <w:tcPr>
            <w:tcW w:type="dxa" w:w="70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60"/>
            </w:pPr>
            <w:r>
              <w:rPr>
                <w:b/>
                <w:bCs/>
                <w:sz w:val="20"/>
                <w:szCs w:val="20"/>
              </w:rPr>
              <w:t xml:space="preserve">What happened: </w:t>
            </w:r>
            <w:r>
              <w:rPr>
                <w:sz w:val="20"/>
                <w:szCs w:val="20"/>
              </w:rPr>
              <w:t xml:space="preserve">This was, by far, the biggest money-loser. It tried to “buy the dip” near round price levels, betting gold would bounce back up. Its buy trades alone lost -963.27 AED (only 35% won); its sell trades lost a smaller -293.46 AED.</w:t>
            </w:r>
          </w:p>
          <w:p>
            <w:pPr>
              <w:spacing w:after="60"/>
            </w:pPr>
            <w:r>
              <w:rPr>
                <w:b/>
                <w:bCs/>
                <w:sz w:val="20"/>
                <w:szCs w:val="20"/>
              </w:rPr>
              <w:t xml:space="preserve">Why (plain language): </w:t>
            </w:r>
            <w:r>
              <w:rPr>
                <w:sz w:val="20"/>
                <w:szCs w:val="20"/>
              </w:rPr>
              <w:t xml:space="preserve">Imagine trying to catch a falling knife — betting it will stop falling and bounce back into your hand. Most of the time it kept falling instead, because the strategy wasn’t checking whether the overall market was already trending down before it bought.</w:t>
            </w:r>
          </w:p>
          <w:p>
            <w:pPr>
              <w:spacing w:after="60"/>
            </w:pPr>
            <w:r>
              <w:rPr>
                <w:b/>
                <w:bCs/>
                <w:sz w:val="20"/>
                <w:szCs w:val="20"/>
              </w:rPr>
              <w:t xml:space="preserve">Fix — already built and LIVE as of today (14 June): </w:t>
            </w:r>
            <w:r>
              <w:rPr>
                <w:sz w:val="20"/>
                <w:szCs w:val="20"/>
              </w:rPr>
              <w:t xml:space="preserve"/>
            </w:r>
          </w:p>
          <w:p>
            <w:pPr>
              <w:spacing w:after="60"/>
            </w:pPr>
            <w:r>
              <w:rPr>
                <w:sz w:val="20"/>
                <w:szCs w:val="20"/>
              </w:rPr>
              <w:t xml:space="preserve">• “Don’t fight the trend” check: the upgraded version won’t buy right after a strong drop (and won’t sell right after a strong rise).</w:t>
            </w:r>
          </w:p>
          <w:p>
            <w:pPr>
              <w:spacing w:after="60"/>
            </w:pPr>
            <w:r>
              <w:rPr>
                <w:sz w:val="20"/>
                <w:szCs w:val="20"/>
              </w:rPr>
              <w:t xml:space="preserve">• A second, independently-built version double-checks the bigger 15-minute price chart for a genuine turning point before entering — a second opinion using a different method.</w:t>
            </w:r>
          </w:p>
          <w:p>
            <w:pPr>
              <w:spacing w:after="60"/>
            </w:pPr>
            <w:r>
              <w:rPr>
                <w:sz w:val="20"/>
                <w:szCs w:val="20"/>
              </w:rPr>
              <w:t xml:space="preserve">• Auto pause after 3 losses in a short window, and a hard stop for the day if losses reach -150 AED.</w:t>
            </w:r>
          </w:p>
          <w:p>
            <w:pPr>
              <w:spacing w:after="60"/>
            </w:pPr>
            <w:r>
              <w:rPr>
                <w:sz w:val="20"/>
                <w:szCs w:val="20"/>
              </w:rPr>
              <w:t xml:space="preserve">• Trade size capped at the smallest size (0.01 lots), only one open trade at a time, and it skips trades when costs/spread are too expensive.</w:t>
            </w:r>
          </w:p>
          <w:p>
            <w:pPr>
              <w:spacing w:after="60"/>
            </w:pPr>
            <w:r>
              <w:rPr>
                <w:sz w:val="20"/>
                <w:szCs w:val="20"/>
              </w:rPr>
              <w:t xml:space="preserve">• An emergency “off switch” file that instantly stops new trades if needed.</w:t>
            </w:r>
          </w:p>
          <w:p>
            <w:pPr>
              <w:spacing w:after="60"/>
            </w:pPr>
            <w:r>
              <w:rPr>
                <w:b/>
                <w:bCs/>
                <w:sz w:val="20"/>
                <w:szCs w:val="20"/>
              </w:rPr>
              <w:t xml:space="preserve">Status: </w:t>
            </w:r>
            <w:r>
              <w:rPr>
                <w:sz w:val="20"/>
                <w:szCs w:val="20"/>
              </w:rPr>
              <w:t xml:space="preserve">Both fixed versions went live today on a dedicated account, starting a locked 2-week trial with every fix above active from trade #1.</w:t>
            </w:r>
          </w:p>
        </w:tc>
      </w:tr>
      <w:tr>
        <w:tc>
          <w:tcPr>
            <w:tcW w:type="dxa" w:w="2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b/>
                <w:bCs/>
                <w:sz w:val="20"/>
                <w:szCs w:val="20"/>
              </w:rPr>
              <w:t xml:space="preserve">B. Breakout &amp; Re-test — too many copies racing each other</w:t>
            </w:r>
          </w:p>
        </w:tc>
        <w:tc>
          <w:tcPr>
            <w:tcW w:type="dxa" w:w="70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60"/>
            </w:pPr>
            <w:r>
              <w:rPr>
                <w:b/>
                <w:bCs/>
                <w:sz w:val="20"/>
                <w:szCs w:val="20"/>
              </w:rPr>
              <w:t xml:space="preserve">What happened: </w:t>
            </w:r>
            <w:r>
              <w:rPr>
                <w:sz w:val="20"/>
                <w:szCs w:val="20"/>
              </w:rPr>
              <w:t xml:space="preserve">The exact same strategy ran as 4 near-identical copies at once on a busy test account. One copy — now running alone on its own clean account — made +748.54 AED. The other 3 copies, all reacting to the same setups within seconds of each other, lost a combined -869.02 AED.</w:t>
            </w:r>
          </w:p>
          <w:p>
            <w:pPr>
              <w:spacing w:after="60"/>
            </w:pPr>
            <w:r>
              <w:rPr>
                <w:b/>
                <w:bCs/>
                <w:sz w:val="20"/>
                <w:szCs w:val="20"/>
              </w:rPr>
              <w:t xml:space="preserve">Why (plain language): </w:t>
            </w:r>
            <w:r>
              <w:rPr>
                <w:sz w:val="20"/>
                <w:szCs w:val="20"/>
              </w:rPr>
              <w:t xml:space="preserve">Like 4 people all rushing to buy the same stock the moment they see the same news — only one gets the good price, and the rest pile in late or at worse prices, with a few going wrong.</w:t>
            </w:r>
          </w:p>
          <w:p>
            <w:pPr>
              <w:spacing w:after="60"/>
            </w:pPr>
            <w:r>
              <w:rPr>
                <w:b/>
                <w:bCs/>
                <w:sz w:val="20"/>
                <w:szCs w:val="20"/>
              </w:rPr>
              <w:t xml:space="preserve">Fix: </w:t>
            </w:r>
            <w:r>
              <w:rPr>
                <w:sz w:val="20"/>
                <w:szCs w:val="20"/>
              </w:rPr>
              <w:t xml:space="preserve">The clean single-copy version is working fine and is being left alone, untouched. The “only one copy fires per setup” rule — the same lock mechanism just verified on the new round-number-bounce strategies — is the ready-made template fix for this account, but it isn’t scheduled yet.</w:t>
            </w:r>
          </w:p>
          <w:p>
            <w:pPr>
              <w:spacing w:after="60"/>
            </w:pPr>
            <w:r>
              <w:rPr>
                <w:b/>
                <w:bCs/>
                <w:sz w:val="20"/>
                <w:szCs w:val="20"/>
              </w:rPr>
              <w:t xml:space="preserve">Status: </w:t>
            </w:r>
            <w:r>
              <w:rPr>
                <w:sz w:val="20"/>
                <w:szCs w:val="20"/>
              </w:rPr>
              <w:t xml:space="preserve">Not yet repaired — future candidate, same fix as A.</w:t>
            </w:r>
          </w:p>
        </w:tc>
      </w:tr>
      <w:tr>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sz w:val="20"/>
                <w:szCs w:val="20"/>
              </w:rPr>
              <w:t xml:space="preserve">C. Evening Breakout — already retired</w:t>
            </w:r>
          </w:p>
        </w:tc>
        <w:tc>
          <w:tcPr>
            <w:tcW w:type="dxa" w:w="7060"/>
            <w:tcBorders>
              <w:top w:val="single" w:color="CCCCCC" w:sz="1"/>
              <w:left w:val="single" w:color="CCCCCC" w:sz="1"/>
              <w:bottom w:val="single" w:color="CCCCCC" w:sz="1"/>
              <w:right w:val="single" w:color="CCCCCC" w:sz="1"/>
            </w:tcBorders>
            <w:shd w:fill="F4FAEF" w:val="clear"/>
            <w:tcMar>
              <w:top w:type="dxa" w:w="80"/>
              <w:left w:type="dxa" w:w="120"/>
              <w:bottom w:type="dxa" w:w="80"/>
              <w:right w:type="dxa" w:w="120"/>
            </w:tcMar>
          </w:tcPr>
          <w:p>
            <w:pPr>
              <w:spacing w:after="60"/>
            </w:pPr>
            <w:r>
              <w:rPr>
                <w:b/>
                <w:bCs/>
                <w:sz w:val="20"/>
                <w:szCs w:val="20"/>
              </w:rPr>
              <w:t xml:space="preserve">What happened: </w:t>
            </w:r>
            <w:r>
              <w:rPr>
                <w:sz w:val="20"/>
                <w:szCs w:val="20"/>
              </w:rPr>
              <w:t xml:space="preserve">Only 2 trades, both losses, -74.00 AED.</w:t>
            </w:r>
          </w:p>
          <w:p>
            <w:pPr>
              <w:spacing w:after="60"/>
            </w:pPr>
            <w:r>
              <w:rPr>
                <w:b/>
                <w:bCs/>
                <w:sz w:val="20"/>
                <w:szCs w:val="20"/>
              </w:rPr>
              <w:t xml:space="preserve">Why: </w:t>
            </w:r>
            <w:r>
              <w:rPr>
                <w:sz w:val="20"/>
                <w:szCs w:val="20"/>
              </w:rPr>
              <w:t xml:space="preserve">An evening-session breakout idea that didn’t hold up once reviewed.</w:t>
            </w:r>
          </w:p>
          <w:p>
            <w:pPr>
              <w:spacing w:after="60"/>
            </w:pPr>
            <w:r>
              <w:rPr>
                <w:b/>
                <w:bCs/>
                <w:sz w:val="20"/>
                <w:szCs w:val="20"/>
              </w:rPr>
              <w:t xml:space="preserve">Fix: </w:t>
            </w:r>
            <w:r>
              <w:rPr>
                <w:sz w:val="20"/>
                <w:szCs w:val="20"/>
              </w:rPr>
              <w:t xml:space="preserve">Already shut down before this review — no further action needed.</w:t>
            </w:r>
          </w:p>
        </w:tc>
      </w:tr>
      <w:tr>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sz w:val="20"/>
                <w:szCs w:val="20"/>
              </w:rPr>
              <w:t xml:space="preserve">D. Swing Breakout Re-test &amp; Session Extreme Bounce — not enough data yet</w:t>
            </w:r>
          </w:p>
        </w:tc>
        <w:tc>
          <w:tcPr>
            <w:tcW w:type="dxa" w:w="7060"/>
            <w:tcBorders>
              <w:top w:val="single" w:color="CCCCCC" w:sz="1"/>
              <w:left w:val="single" w:color="CCCCCC" w:sz="1"/>
              <w:bottom w:val="single" w:color="CCCCCC" w:sz="1"/>
              <w:right w:val="single" w:color="CCCCCC" w:sz="1"/>
            </w:tcBorders>
            <w:shd w:fill="F4FAEF" w:val="clear"/>
            <w:tcMar>
              <w:top w:type="dxa" w:w="80"/>
              <w:left w:type="dxa" w:w="120"/>
              <w:bottom w:type="dxa" w:w="80"/>
              <w:right w:type="dxa" w:w="120"/>
            </w:tcMar>
          </w:tcPr>
          <w:p>
            <w:pPr>
              <w:spacing w:after="60"/>
            </w:pPr>
            <w:r>
              <w:rPr>
                <w:b/>
                <w:bCs/>
                <w:sz w:val="20"/>
                <w:szCs w:val="20"/>
              </w:rPr>
              <w:t xml:space="preserve">What happened: </w:t>
            </w:r>
            <w:r>
              <w:rPr>
                <w:sz w:val="20"/>
                <w:szCs w:val="20"/>
              </w:rPr>
              <w:t xml:space="preserve">Both came out roughly breakeven-to-slightly-positive (+41.44 AED on 3 trades, and +27.82 AED on 11 trades).</w:t>
            </w:r>
          </w:p>
          <w:p>
            <w:pPr>
              <w:spacing w:after="60"/>
            </w:pPr>
            <w:r>
              <w:rPr>
                <w:b/>
                <w:bCs/>
                <w:sz w:val="20"/>
                <w:szCs w:val="20"/>
              </w:rPr>
              <w:t xml:space="preserve">Why: </w:t>
            </w:r>
            <w:r>
              <w:rPr>
                <w:sz w:val="20"/>
                <w:szCs w:val="20"/>
              </w:rPr>
              <w:t xml:space="preserve">Too few trades to know if these are genuinely good ideas or just lucky.</w:t>
            </w:r>
          </w:p>
          <w:p>
            <w:pPr>
              <w:spacing w:after="60"/>
            </w:pPr>
            <w:r>
              <w:rPr>
                <w:b/>
                <w:bCs/>
                <w:sz w:val="20"/>
                <w:szCs w:val="20"/>
              </w:rPr>
              <w:t xml:space="preserve">Fix: </w:t>
            </w:r>
            <w:r>
              <w:rPr>
                <w:sz w:val="20"/>
                <w:szCs w:val="20"/>
              </w:rPr>
              <w:t xml:space="preserve">No changes needed. “Session Extreme Bounce” has a reserved slot for a possible future third guarded strategy if more data supports it.</w:t>
            </w:r>
          </w:p>
        </w:tc>
      </w:tr>
    </w:tbl>
    <w:p>
      <w:pPr>
        <w:pStyle w:val="Heading2"/>
        <w:spacing w:after="120" w:before="300"/>
      </w:pPr>
      <w:r>
        <w:t xml:space="preserve">Where things stand now</w:t>
      </w:r>
    </w:p>
    <w:p>
      <w:pPr>
        <w:spacing w:after="60"/>
      </w:pPr>
      <w:r>
        <w:rPr>
          <w:sz w:val="20"/>
          <w:szCs w:val="20"/>
        </w:rPr>
        <w:t xml:space="preserve">As of 14 June, the fixed “Round Number Bounce” strategy — rebuilt as two independently-designed versions with every fix from Issue A active — is live on a dedicated account and has started its own locked 2-week trial. No trades have happened on that account yet (it just started), so there is nothing to report there beyond “ready and watching.”</w:t>
      </w:r>
    </w:p>
    <w:p>
      <w:pPr>
        <w:spacing w:after="60"/>
      </w:pPr>
      <w:r>
        <w:rPr>
          <w:sz w:val="20"/>
          <w:szCs w:val="20"/>
        </w:rPr>
        <w:t xml:space="preserve">The other accounts continue unchanged: the clean “Breakout &amp; Re-test” copy (Issue B, #2) keeps running as-is because it’s working, and the “Evening Breakout” strategy (Issue C) remains retired.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2026-06-13T23:26:07.777Z</dcterms:created>
  <dcterms:modified xsi:type="dcterms:W3CDTF">2026-06-13T23:26:07.777Z</dcterms:modified>
</cp:coreProperties>
</file>

<file path=docProps/custom.xml><?xml version="1.0" encoding="utf-8"?>
<Properties xmlns="http://schemas.openxmlformats.org/officeDocument/2006/custom-properties" xmlns:vt="http://schemas.openxmlformats.org/officeDocument/2006/docPropsVTypes"/>
</file>